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AF2B1">
      <w:pPr>
        <w:autoSpaceDE/>
        <w:autoSpaceDN/>
        <w:snapToGrid w:val="0"/>
        <w:spacing w:line="600" w:lineRule="exact"/>
        <w:jc w:val="center"/>
        <w:rPr>
          <w:rFonts w:ascii="方正小标宋_GBK" w:hAnsi="方正小标宋_GBK" w:eastAsia="方正小标宋_GBK" w:cs="方正小标宋_GBK"/>
          <w:kern w:val="2"/>
          <w:sz w:val="44"/>
          <w:szCs w:val="44"/>
          <w:lang w:val="en-US" w:bidi="ar-SA"/>
        </w:rPr>
      </w:pPr>
      <w:r>
        <w:rPr>
          <w:rFonts w:hint="eastAsia" w:ascii="方正小标宋_GBK" w:hAnsi="方正小标宋_GBK" w:eastAsia="方正小标宋_GBK" w:cs="方正小标宋_GBK"/>
          <w:color w:val="000000"/>
          <w:kern w:val="2"/>
          <w:sz w:val="44"/>
          <w:szCs w:val="44"/>
          <w:lang w:bidi="ar-SA"/>
        </w:rPr>
        <w:t>202</w:t>
      </w:r>
      <w:r>
        <w:rPr>
          <w:rFonts w:ascii="方正小标宋_GBK" w:hAnsi="方正小标宋_GBK" w:eastAsia="方正小标宋_GBK" w:cs="方正小标宋_GBK"/>
          <w:color w:val="000000"/>
          <w:kern w:val="2"/>
          <w:sz w:val="44"/>
          <w:szCs w:val="44"/>
          <w:lang w:val="en-US" w:bidi="ar-SA"/>
        </w:rPr>
        <w:t>6</w:t>
      </w:r>
      <w:r>
        <w:rPr>
          <w:rFonts w:hint="eastAsia" w:ascii="方正小标宋_GBK" w:hAnsi="方正小标宋_GBK" w:eastAsia="方正小标宋_GBK" w:cs="方正小标宋_GBK"/>
          <w:color w:val="000000"/>
          <w:kern w:val="2"/>
          <w:sz w:val="44"/>
          <w:szCs w:val="44"/>
          <w:lang w:val="en-US" w:bidi="ar-SA"/>
        </w:rPr>
        <w:t>年连云港市摩托车、电动自行车用乘员头盔产品质量监督抽查实施细则</w:t>
      </w:r>
    </w:p>
    <w:p w14:paraId="1735D2AD">
      <w:pPr>
        <w:autoSpaceDE/>
        <w:autoSpaceDN/>
        <w:spacing w:line="600" w:lineRule="exact"/>
        <w:ind w:firstLine="640" w:firstLineChars="200"/>
        <w:rPr>
          <w:rFonts w:ascii="方正黑体_GBK" w:hAnsi="方正仿宋_GBK" w:eastAsia="方正黑体_GBK" w:cs="方正仿宋_GBK"/>
          <w:sz w:val="32"/>
          <w:szCs w:val="32"/>
          <w:shd w:val="clear" w:color="auto" w:fill="FFFFFF"/>
        </w:rPr>
      </w:pPr>
      <w:r>
        <w:rPr>
          <w:rFonts w:hint="eastAsia" w:ascii="方正黑体_GBK" w:hAnsi="方正仿宋_GBK" w:eastAsia="方正黑体_GBK" w:cs="方正仿宋_GBK"/>
          <w:sz w:val="32"/>
          <w:szCs w:val="32"/>
          <w:shd w:val="clear" w:color="auto" w:fill="FFFFFF"/>
        </w:rPr>
        <w:t>1.范围</w:t>
      </w:r>
    </w:p>
    <w:p w14:paraId="34526400">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本细则适用于连云港市市场监督管理局组织的摩托车、电动自行车用乘员头盔产品质量监督抽查。本细则规定了此产品的抽样方法、检验依据、检验项目、检验方法、判定原则、异议处理及复检。</w:t>
      </w:r>
    </w:p>
    <w:p w14:paraId="339B2D73">
      <w:pPr>
        <w:autoSpaceDE/>
        <w:autoSpaceDN/>
        <w:spacing w:line="600" w:lineRule="exact"/>
        <w:ind w:firstLine="640" w:firstLineChars="200"/>
        <w:rPr>
          <w:rFonts w:ascii="方正黑体_GBK" w:hAnsi="方正仿宋_GBK" w:eastAsia="方正黑体_GBK" w:cs="方正仿宋_GBK"/>
          <w:sz w:val="32"/>
          <w:szCs w:val="32"/>
          <w:shd w:val="clear" w:color="auto" w:fill="FFFFFF"/>
        </w:rPr>
      </w:pPr>
      <w:r>
        <w:rPr>
          <w:rFonts w:hint="eastAsia" w:ascii="方正黑体_GBK" w:hAnsi="方正仿宋_GBK" w:eastAsia="方正黑体_GBK" w:cs="方正仿宋_GBK"/>
          <w:sz w:val="32"/>
          <w:szCs w:val="32"/>
          <w:shd w:val="clear" w:color="auto" w:fill="FFFFFF"/>
        </w:rPr>
        <w:t>2.抽样方法</w:t>
      </w:r>
    </w:p>
    <w:p w14:paraId="6BBDAD5C">
      <w:pPr>
        <w:autoSpaceDE/>
        <w:autoSpaceDN/>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生产企业、实体店抽样</w:t>
      </w:r>
    </w:p>
    <w:p w14:paraId="334D886D">
      <w:pPr>
        <w:autoSpaceDE/>
        <w:autoSpaceDN/>
        <w:spacing w:line="600" w:lineRule="exact"/>
        <w:ind w:firstLine="640" w:firstLineChars="200"/>
        <w:rPr>
          <w:rFonts w:ascii="方正仿宋_GBK" w:hAnsi="方正仿宋_GBK" w:eastAsia="方正仿宋_GBK" w:cs="方正仿宋_GBK"/>
          <w:kern w:val="2"/>
          <w:sz w:val="32"/>
          <w:szCs w:val="32"/>
          <w:lang w:val="en-US" w:bidi="ar-SA"/>
        </w:rPr>
      </w:pPr>
      <w:r>
        <w:rPr>
          <w:rFonts w:ascii="方正仿宋_GBK" w:hAnsi="方正仿宋_GBK" w:eastAsia="方正仿宋_GBK" w:cs="方正仿宋_GBK"/>
          <w:sz w:val="32"/>
          <w:szCs w:val="32"/>
        </w:rPr>
        <w:t>在</w:t>
      </w:r>
      <w:r>
        <w:rPr>
          <w:rFonts w:hint="eastAsia" w:ascii="方正仿宋_GBK" w:hAnsi="方正仿宋_GBK" w:eastAsia="方正仿宋_GBK" w:cs="方正仿宋_GBK"/>
          <w:sz w:val="32"/>
          <w:szCs w:val="32"/>
        </w:rPr>
        <w:t>受检</w:t>
      </w:r>
      <w:r>
        <w:rPr>
          <w:rFonts w:ascii="方正仿宋_GBK" w:hAnsi="方正仿宋_GBK" w:eastAsia="方正仿宋_GBK" w:cs="方正仿宋_GBK"/>
          <w:sz w:val="32"/>
          <w:szCs w:val="32"/>
        </w:rPr>
        <w:t>企业的成品</w:t>
      </w:r>
      <w:r>
        <w:rPr>
          <w:rFonts w:hint="eastAsia" w:ascii="方正仿宋_GBK" w:hAnsi="方正仿宋_GBK" w:eastAsia="方正仿宋_GBK" w:cs="方正仿宋_GBK"/>
          <w:sz w:val="32"/>
          <w:szCs w:val="32"/>
        </w:rPr>
        <w:t>仓库或者其确认场所，</w:t>
      </w:r>
      <w:r>
        <w:rPr>
          <w:rFonts w:ascii="方正仿宋_GBK" w:hAnsi="方正仿宋_GBK" w:eastAsia="方正仿宋_GBK" w:cs="方正仿宋_GBK"/>
          <w:sz w:val="32"/>
          <w:szCs w:val="32"/>
        </w:rPr>
        <w:t>随机抽取有产品质量检验合格证明或者其他形式表明合格的</w:t>
      </w:r>
      <w:r>
        <w:rPr>
          <w:rFonts w:hint="eastAsia" w:ascii="方正仿宋_GBK" w:hAnsi="方正仿宋_GBK" w:eastAsia="方正仿宋_GBK" w:cs="方正仿宋_GBK"/>
          <w:sz w:val="32"/>
          <w:szCs w:val="32"/>
        </w:rPr>
        <w:t>待销</w:t>
      </w:r>
      <w:r>
        <w:rPr>
          <w:rFonts w:ascii="方正仿宋_GBK" w:hAnsi="方正仿宋_GBK" w:eastAsia="方正仿宋_GBK" w:cs="方正仿宋_GBK"/>
          <w:sz w:val="32"/>
          <w:szCs w:val="32"/>
        </w:rPr>
        <w:t>产品</w:t>
      </w:r>
      <w:r>
        <w:rPr>
          <w:rFonts w:hint="eastAsia" w:ascii="方正仿宋_GBK" w:hAnsi="方正仿宋_GBK" w:eastAsia="方正仿宋_GBK" w:cs="方正仿宋_GBK"/>
          <w:sz w:val="32"/>
          <w:szCs w:val="32"/>
        </w:rPr>
        <w:t>，付费</w:t>
      </w:r>
      <w:r>
        <w:rPr>
          <w:rFonts w:ascii="方正仿宋_GBK" w:hAnsi="方正仿宋_GBK" w:eastAsia="方正仿宋_GBK" w:cs="方正仿宋_GBK"/>
          <w:sz w:val="32"/>
          <w:szCs w:val="32"/>
        </w:rPr>
        <w:t>购买</w:t>
      </w:r>
      <w:r>
        <w:rPr>
          <w:rFonts w:hint="eastAsia" w:ascii="方正仿宋_GBK" w:hAnsi="方正仿宋_GBK" w:eastAsia="方正仿宋_GBK" w:cs="方正仿宋_GBK"/>
          <w:sz w:val="32"/>
          <w:szCs w:val="32"/>
        </w:rPr>
        <w:t>检验</w:t>
      </w:r>
      <w:r>
        <w:rPr>
          <w:rFonts w:ascii="方正仿宋_GBK" w:hAnsi="方正仿宋_GBK" w:eastAsia="方正仿宋_GBK" w:cs="方正仿宋_GBK"/>
          <w:sz w:val="32"/>
          <w:szCs w:val="32"/>
        </w:rPr>
        <w:t>样品</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并</w:t>
      </w:r>
      <w:r>
        <w:rPr>
          <w:rFonts w:hint="eastAsia" w:ascii="方正仿宋_GBK" w:hAnsi="方正仿宋_GBK" w:eastAsia="方正仿宋_GBK" w:cs="方正仿宋_GBK"/>
          <w:sz w:val="32"/>
          <w:szCs w:val="32"/>
        </w:rPr>
        <w:t>索取发票等购样凭据留证。摩托车、电动自行车用乘员头盔产品</w:t>
      </w:r>
      <w:r>
        <w:rPr>
          <w:rFonts w:hint="eastAsia" w:ascii="方正仿宋_GBK" w:hAnsi="方正仿宋_GBK" w:eastAsia="方正仿宋_GBK" w:cs="方正仿宋_GBK"/>
          <w:kern w:val="2"/>
          <w:sz w:val="32"/>
          <w:szCs w:val="32"/>
          <w:lang w:val="en-US" w:bidi="ar-SA"/>
        </w:rPr>
        <w:t>抽样数量为</w:t>
      </w:r>
      <w:r>
        <w:rPr>
          <w:rFonts w:hint="eastAsia" w:ascii="方正仿宋_GBK" w:hAnsi="方正仿宋_GBK" w:eastAsia="方正仿宋_GBK" w:cs="方正仿宋_GBK"/>
          <w:kern w:val="2"/>
          <w:sz w:val="32"/>
          <w:szCs w:val="32"/>
          <w:lang w:val="en-US" w:eastAsia="zh-CN" w:bidi="ar-SA"/>
        </w:rPr>
        <w:t>4顶</w:t>
      </w:r>
      <w:r>
        <w:rPr>
          <w:rFonts w:hint="eastAsia" w:ascii="方正仿宋_GBK" w:hAnsi="方正仿宋_GBK" w:eastAsia="方正仿宋_GBK" w:cs="方正仿宋_GBK"/>
          <w:kern w:val="2"/>
          <w:sz w:val="32"/>
          <w:szCs w:val="32"/>
          <w:lang w:val="en-US" w:bidi="ar-SA"/>
        </w:rPr>
        <w:t>，其中</w:t>
      </w:r>
      <w:r>
        <w:rPr>
          <w:rFonts w:hint="eastAsia" w:ascii="方正仿宋_GBK" w:hAnsi="方正仿宋_GBK" w:eastAsia="方正仿宋_GBK" w:cs="方正仿宋_GBK"/>
          <w:kern w:val="2"/>
          <w:sz w:val="32"/>
          <w:szCs w:val="32"/>
          <w:lang w:val="en-US" w:eastAsia="zh-CN" w:bidi="ar-SA"/>
        </w:rPr>
        <w:t>2顶</w:t>
      </w:r>
      <w:r>
        <w:rPr>
          <w:rFonts w:hint="eastAsia" w:ascii="方正仿宋_GBK" w:hAnsi="方正仿宋_GBK" w:eastAsia="方正仿宋_GBK" w:cs="方正仿宋_GBK"/>
          <w:kern w:val="2"/>
          <w:sz w:val="32"/>
          <w:szCs w:val="32"/>
          <w:lang w:val="en-US" w:bidi="ar-SA"/>
        </w:rPr>
        <w:t>为检验样品，</w:t>
      </w:r>
      <w:r>
        <w:rPr>
          <w:rFonts w:hint="eastAsia" w:ascii="方正仿宋_GBK" w:hAnsi="方正仿宋_GBK" w:eastAsia="方正仿宋_GBK" w:cs="方正仿宋_GBK"/>
          <w:kern w:val="2"/>
          <w:sz w:val="32"/>
          <w:szCs w:val="32"/>
          <w:lang w:val="en-US" w:eastAsia="zh-CN" w:bidi="ar-SA"/>
        </w:rPr>
        <w:t>2顶</w:t>
      </w:r>
      <w:r>
        <w:rPr>
          <w:rFonts w:hint="eastAsia" w:ascii="方正仿宋_GBK" w:hAnsi="方正仿宋_GBK" w:eastAsia="方正仿宋_GBK" w:cs="方正仿宋_GBK"/>
          <w:kern w:val="2"/>
          <w:sz w:val="32"/>
          <w:szCs w:val="32"/>
          <w:lang w:val="en-US" w:bidi="ar-SA"/>
        </w:rPr>
        <w:t>为备用样品</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抽</w:t>
      </w:r>
      <w:r>
        <w:rPr>
          <w:rFonts w:hint="eastAsia" w:ascii="方正仿宋_GBK" w:hAnsi="方正仿宋_GBK" w:eastAsia="方正仿宋_GBK" w:cs="方正仿宋_GBK"/>
          <w:sz w:val="32"/>
          <w:szCs w:val="32"/>
        </w:rPr>
        <w:t>样基数应满足抽样要求。</w:t>
      </w:r>
    </w:p>
    <w:p w14:paraId="07F467F0">
      <w:pPr>
        <w:autoSpaceDE/>
        <w:autoSpaceDN/>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一经抽样，立即封样，任何人不得调换。采样过程均需拍照留证。</w:t>
      </w:r>
    </w:p>
    <w:p w14:paraId="7B85E9E4">
      <w:pPr>
        <w:autoSpaceDE/>
        <w:autoSpaceDN/>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所抽取产品的保质期应能充分满足检验工作的进行。检验样品和备用样品分开封样，被抽查样品应有防拆护措施，可以采用外包装箱装好封样。运输时应防挤压、防暴晒、防雨淋、防潮湿、防破损、防污染。不得与油及酸、碱等腐蚀性的物质放在一起进行运输。</w:t>
      </w:r>
    </w:p>
    <w:p w14:paraId="46426DA1">
      <w:pPr>
        <w:autoSpaceDE/>
        <w:autoSpaceDN/>
        <w:spacing w:line="600" w:lineRule="exact"/>
        <w:ind w:firstLine="640" w:firstLineChars="200"/>
        <w:rPr>
          <w:rFonts w:ascii="方正黑体_GBK" w:hAnsi="方正仿宋_GBK" w:eastAsia="方正黑体_GBK" w:cs="方正仿宋_GBK"/>
          <w:sz w:val="32"/>
          <w:szCs w:val="32"/>
          <w:shd w:val="clear" w:color="auto" w:fill="FFFFFF"/>
        </w:rPr>
      </w:pPr>
      <w:r>
        <w:rPr>
          <w:rFonts w:hint="eastAsia" w:ascii="方正黑体_GBK" w:hAnsi="方正仿宋_GBK" w:eastAsia="方正黑体_GBK" w:cs="方正仿宋_GBK"/>
          <w:sz w:val="32"/>
          <w:szCs w:val="32"/>
          <w:shd w:val="clear" w:color="auto" w:fill="FFFFFF"/>
        </w:rPr>
        <w:t>3.检验依据</w:t>
      </w:r>
    </w:p>
    <w:p w14:paraId="744BCED9">
      <w:pPr>
        <w:autoSpaceDE/>
        <w:autoSpaceDN/>
        <w:spacing w:line="600" w:lineRule="exact"/>
        <w:ind w:firstLine="640" w:firstLineChars="200"/>
        <w:jc w:val="center"/>
        <w:rPr>
          <w:rFonts w:hint="eastAsia"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表1</w:t>
      </w:r>
      <w:r>
        <w:rPr>
          <w:rFonts w:hint="eastAsia" w:ascii="方正仿宋_GBK" w:hAnsi="方正仿宋_GBK" w:eastAsia="方正仿宋_GBK" w:cs="方正仿宋_GBK"/>
          <w:kern w:val="2"/>
          <w:sz w:val="32"/>
          <w:szCs w:val="32"/>
          <w:lang w:val="en-US" w:bidi="ar-SA"/>
        </w:rPr>
        <w:tab/>
      </w:r>
      <w:r>
        <w:rPr>
          <w:rFonts w:hint="eastAsia" w:ascii="方正仿宋_GBK" w:hAnsi="方正仿宋_GBK" w:eastAsia="方正仿宋_GBK" w:cs="方正仿宋_GBK"/>
          <w:sz w:val="32"/>
          <w:szCs w:val="32"/>
        </w:rPr>
        <w:t>摩托车、电动自行车用乘员头盔</w:t>
      </w:r>
      <w:r>
        <w:rPr>
          <w:rFonts w:hint="eastAsia" w:ascii="方正仿宋_GBK" w:hAnsi="方正仿宋_GBK" w:eastAsia="方正仿宋_GBK" w:cs="方正仿宋_GBK"/>
          <w:kern w:val="2"/>
          <w:sz w:val="32"/>
          <w:szCs w:val="32"/>
          <w:lang w:val="en-US" w:bidi="ar-SA"/>
        </w:rPr>
        <w:t>产品检验项目</w:t>
      </w:r>
    </w:p>
    <w:tbl>
      <w:tblPr>
        <w:tblStyle w:val="1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617"/>
        <w:gridCol w:w="2630"/>
        <w:gridCol w:w="2616"/>
        <w:gridCol w:w="2804"/>
      </w:tblGrid>
      <w:tr w14:paraId="418A6627">
        <w:trPr>
          <w:trHeight w:val="541" w:hRule="atLeast"/>
        </w:trPr>
        <w:tc>
          <w:tcPr>
            <w:tcW w:w="899" w:type="dxa"/>
            <w:noWrap w:val="0"/>
            <w:vAlign w:val="center"/>
          </w:tcPr>
          <w:p w14:paraId="071085FE">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序号</w:t>
            </w:r>
          </w:p>
        </w:tc>
        <w:tc>
          <w:tcPr>
            <w:tcW w:w="3247" w:type="dxa"/>
            <w:gridSpan w:val="2"/>
            <w:noWrap w:val="0"/>
            <w:vAlign w:val="center"/>
          </w:tcPr>
          <w:p w14:paraId="3FF28066">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检验项目</w:t>
            </w:r>
          </w:p>
        </w:tc>
        <w:tc>
          <w:tcPr>
            <w:tcW w:w="2616" w:type="dxa"/>
            <w:noWrap w:val="0"/>
            <w:vAlign w:val="center"/>
          </w:tcPr>
          <w:p w14:paraId="7892F54C">
            <w:pPr>
              <w:snapToGrid w:val="0"/>
              <w:spacing w:line="300" w:lineRule="exact"/>
              <w:jc w:val="center"/>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检测依据</w:t>
            </w:r>
          </w:p>
        </w:tc>
        <w:tc>
          <w:tcPr>
            <w:tcW w:w="2804" w:type="dxa"/>
            <w:noWrap w:val="0"/>
            <w:vAlign w:val="center"/>
          </w:tcPr>
          <w:p w14:paraId="49C86373">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检验方法</w:t>
            </w:r>
          </w:p>
        </w:tc>
      </w:tr>
      <w:tr w14:paraId="0CF9641C">
        <w:trPr>
          <w:trHeight w:val="524" w:hRule="atLeast"/>
        </w:trPr>
        <w:tc>
          <w:tcPr>
            <w:tcW w:w="899" w:type="dxa"/>
            <w:vMerge w:val="restart"/>
            <w:noWrap w:val="0"/>
            <w:vAlign w:val="center"/>
          </w:tcPr>
          <w:p w14:paraId="4E80D55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p>
        </w:tc>
        <w:tc>
          <w:tcPr>
            <w:tcW w:w="617" w:type="dxa"/>
            <w:vMerge w:val="restart"/>
            <w:noWrap w:val="0"/>
            <w:vAlign w:val="center"/>
          </w:tcPr>
          <w:p w14:paraId="1453CF7F">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结构</w:t>
            </w:r>
          </w:p>
        </w:tc>
        <w:tc>
          <w:tcPr>
            <w:tcW w:w="2630" w:type="dxa"/>
            <w:noWrap w:val="0"/>
            <w:vAlign w:val="center"/>
          </w:tcPr>
          <w:p w14:paraId="5A26B372">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壳体</w:t>
            </w:r>
            <w:r>
              <w:rPr>
                <w:rFonts w:hint="eastAsia" w:ascii="方正仿宋_GBK" w:hAnsi="方正仿宋_GBK" w:eastAsia="方正仿宋_GBK" w:cs="方正仿宋_GBK"/>
                <w:color w:val="000000"/>
                <w:sz w:val="32"/>
                <w:szCs w:val="32"/>
                <w:vertAlign w:val="superscript"/>
              </w:rPr>
              <w:t>a</w:t>
            </w:r>
          </w:p>
        </w:tc>
        <w:tc>
          <w:tcPr>
            <w:tcW w:w="2616" w:type="dxa"/>
            <w:noWrap w:val="0"/>
            <w:vAlign w:val="center"/>
          </w:tcPr>
          <w:p w14:paraId="1D1F507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2A3BD8DF">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605A0A0E">
        <w:trPr>
          <w:trHeight w:val="477" w:hRule="atLeast"/>
        </w:trPr>
        <w:tc>
          <w:tcPr>
            <w:tcW w:w="899" w:type="dxa"/>
            <w:vMerge w:val="continue"/>
            <w:noWrap w:val="0"/>
            <w:vAlign w:val="center"/>
          </w:tcPr>
          <w:p w14:paraId="36D74060">
            <w:pPr>
              <w:snapToGrid w:val="0"/>
              <w:spacing w:line="300" w:lineRule="exact"/>
              <w:jc w:val="center"/>
              <w:rPr>
                <w:rFonts w:hint="eastAsia" w:ascii="方正仿宋_GBK" w:hAnsi="方正仿宋_GBK" w:eastAsia="方正仿宋_GBK" w:cs="方正仿宋_GBK"/>
                <w:color w:val="000000"/>
                <w:sz w:val="32"/>
                <w:szCs w:val="32"/>
              </w:rPr>
            </w:pPr>
          </w:p>
        </w:tc>
        <w:tc>
          <w:tcPr>
            <w:tcW w:w="617" w:type="dxa"/>
            <w:vMerge w:val="continue"/>
            <w:noWrap w:val="0"/>
            <w:vAlign w:val="center"/>
          </w:tcPr>
          <w:p w14:paraId="4A92FFF3">
            <w:pPr>
              <w:snapToGrid w:val="0"/>
              <w:spacing w:line="300" w:lineRule="exact"/>
              <w:jc w:val="center"/>
              <w:rPr>
                <w:rFonts w:hint="eastAsia" w:ascii="方正仿宋_GBK" w:hAnsi="方正仿宋_GBK" w:eastAsia="方正仿宋_GBK" w:cs="方正仿宋_GBK"/>
                <w:color w:val="000000"/>
                <w:sz w:val="32"/>
                <w:szCs w:val="32"/>
              </w:rPr>
            </w:pPr>
          </w:p>
        </w:tc>
        <w:tc>
          <w:tcPr>
            <w:tcW w:w="2630" w:type="dxa"/>
            <w:noWrap w:val="0"/>
            <w:vAlign w:val="center"/>
          </w:tcPr>
          <w:p w14:paraId="23E9EC9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佩戴装置</w:t>
            </w:r>
          </w:p>
        </w:tc>
        <w:tc>
          <w:tcPr>
            <w:tcW w:w="2616" w:type="dxa"/>
            <w:noWrap w:val="0"/>
            <w:vAlign w:val="center"/>
          </w:tcPr>
          <w:p w14:paraId="4CD6859A">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046E2B0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1753631B">
        <w:trPr>
          <w:trHeight w:val="542" w:hRule="atLeast"/>
        </w:trPr>
        <w:tc>
          <w:tcPr>
            <w:tcW w:w="899" w:type="dxa"/>
            <w:noWrap w:val="0"/>
            <w:vAlign w:val="center"/>
          </w:tcPr>
          <w:p w14:paraId="3AF9B0B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w:t>
            </w:r>
          </w:p>
        </w:tc>
        <w:tc>
          <w:tcPr>
            <w:tcW w:w="3247" w:type="dxa"/>
            <w:gridSpan w:val="2"/>
            <w:noWrap w:val="0"/>
            <w:vAlign w:val="center"/>
          </w:tcPr>
          <w:p w14:paraId="51CB412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视野</w:t>
            </w:r>
          </w:p>
        </w:tc>
        <w:tc>
          <w:tcPr>
            <w:tcW w:w="2616" w:type="dxa"/>
            <w:noWrap w:val="0"/>
            <w:vAlign w:val="center"/>
          </w:tcPr>
          <w:p w14:paraId="242777DC">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4C039D6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4827B4F2">
        <w:trPr>
          <w:trHeight w:val="514" w:hRule="atLeast"/>
        </w:trPr>
        <w:tc>
          <w:tcPr>
            <w:tcW w:w="899" w:type="dxa"/>
            <w:noWrap w:val="0"/>
            <w:vAlign w:val="center"/>
          </w:tcPr>
          <w:p w14:paraId="180B237C">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w:t>
            </w:r>
          </w:p>
        </w:tc>
        <w:tc>
          <w:tcPr>
            <w:tcW w:w="3247" w:type="dxa"/>
            <w:gridSpan w:val="2"/>
            <w:noWrap w:val="0"/>
            <w:vAlign w:val="center"/>
          </w:tcPr>
          <w:p w14:paraId="3F7A1D2B">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护目镜</w:t>
            </w:r>
          </w:p>
        </w:tc>
        <w:tc>
          <w:tcPr>
            <w:tcW w:w="2616" w:type="dxa"/>
            <w:noWrap w:val="0"/>
            <w:vAlign w:val="center"/>
          </w:tcPr>
          <w:p w14:paraId="10B962F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31B81448">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5373D44D">
        <w:trPr>
          <w:trHeight w:val="458" w:hRule="atLeast"/>
        </w:trPr>
        <w:tc>
          <w:tcPr>
            <w:tcW w:w="899" w:type="dxa"/>
            <w:noWrap w:val="0"/>
            <w:vAlign w:val="center"/>
          </w:tcPr>
          <w:p w14:paraId="43E96310">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w:t>
            </w:r>
          </w:p>
        </w:tc>
        <w:tc>
          <w:tcPr>
            <w:tcW w:w="3247" w:type="dxa"/>
            <w:gridSpan w:val="2"/>
            <w:noWrap w:val="0"/>
            <w:vAlign w:val="center"/>
          </w:tcPr>
          <w:p w14:paraId="36008E72">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表面摩擦力</w:t>
            </w:r>
          </w:p>
        </w:tc>
        <w:tc>
          <w:tcPr>
            <w:tcW w:w="2616" w:type="dxa"/>
            <w:noWrap w:val="0"/>
            <w:vAlign w:val="center"/>
          </w:tcPr>
          <w:p w14:paraId="0631168E">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16C7A5D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0CCBCDDD">
        <w:trPr>
          <w:trHeight w:val="486" w:hRule="atLeast"/>
        </w:trPr>
        <w:tc>
          <w:tcPr>
            <w:tcW w:w="899" w:type="dxa"/>
            <w:noWrap w:val="0"/>
            <w:vAlign w:val="center"/>
          </w:tcPr>
          <w:p w14:paraId="435A0B3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w:t>
            </w:r>
          </w:p>
        </w:tc>
        <w:tc>
          <w:tcPr>
            <w:tcW w:w="3247" w:type="dxa"/>
            <w:gridSpan w:val="2"/>
            <w:noWrap w:val="0"/>
            <w:vAlign w:val="center"/>
          </w:tcPr>
          <w:p w14:paraId="2467DCCB">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固定装置稳定性</w:t>
            </w:r>
          </w:p>
        </w:tc>
        <w:tc>
          <w:tcPr>
            <w:tcW w:w="2616" w:type="dxa"/>
            <w:noWrap w:val="0"/>
            <w:vAlign w:val="center"/>
          </w:tcPr>
          <w:p w14:paraId="57A8DA7A">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5144C764">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11063C8B">
        <w:trPr>
          <w:trHeight w:val="496" w:hRule="atLeast"/>
        </w:trPr>
        <w:tc>
          <w:tcPr>
            <w:tcW w:w="899" w:type="dxa"/>
            <w:noWrap w:val="0"/>
            <w:vAlign w:val="center"/>
          </w:tcPr>
          <w:p w14:paraId="6E6229E6">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w:t>
            </w:r>
          </w:p>
        </w:tc>
        <w:tc>
          <w:tcPr>
            <w:tcW w:w="3247" w:type="dxa"/>
            <w:gridSpan w:val="2"/>
            <w:noWrap w:val="0"/>
            <w:vAlign w:val="center"/>
          </w:tcPr>
          <w:p w14:paraId="4ABCAF48">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佩戴装置强度</w:t>
            </w:r>
          </w:p>
        </w:tc>
        <w:tc>
          <w:tcPr>
            <w:tcW w:w="2616" w:type="dxa"/>
            <w:noWrap w:val="0"/>
            <w:vAlign w:val="center"/>
          </w:tcPr>
          <w:p w14:paraId="730B1756">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6D325625">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3BD24212">
        <w:trPr>
          <w:trHeight w:val="514" w:hRule="atLeast"/>
        </w:trPr>
        <w:tc>
          <w:tcPr>
            <w:tcW w:w="899" w:type="dxa"/>
            <w:noWrap w:val="0"/>
            <w:vAlign w:val="center"/>
          </w:tcPr>
          <w:p w14:paraId="19D2679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w:t>
            </w:r>
          </w:p>
        </w:tc>
        <w:tc>
          <w:tcPr>
            <w:tcW w:w="3247" w:type="dxa"/>
            <w:gridSpan w:val="2"/>
            <w:noWrap w:val="0"/>
            <w:vAlign w:val="center"/>
          </w:tcPr>
          <w:p w14:paraId="52373A1D">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吸收碰撞能量</w:t>
            </w:r>
            <w:r>
              <w:rPr>
                <w:rFonts w:hint="eastAsia" w:ascii="方正仿宋_GBK" w:hAnsi="方正仿宋_GBK" w:eastAsia="方正仿宋_GBK" w:cs="方正仿宋_GBK"/>
                <w:color w:val="000000"/>
                <w:sz w:val="32"/>
                <w:szCs w:val="32"/>
                <w:vertAlign w:val="superscript"/>
              </w:rPr>
              <w:t>b</w:t>
            </w:r>
          </w:p>
        </w:tc>
        <w:tc>
          <w:tcPr>
            <w:tcW w:w="2616" w:type="dxa"/>
            <w:noWrap w:val="0"/>
            <w:vAlign w:val="center"/>
          </w:tcPr>
          <w:p w14:paraId="31C54E14">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1853C391">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276A80FC">
        <w:trPr>
          <w:trHeight w:val="533" w:hRule="atLeast"/>
        </w:trPr>
        <w:tc>
          <w:tcPr>
            <w:tcW w:w="899" w:type="dxa"/>
            <w:noWrap w:val="0"/>
            <w:vAlign w:val="center"/>
          </w:tcPr>
          <w:p w14:paraId="015D7DDB">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w:t>
            </w:r>
          </w:p>
        </w:tc>
        <w:tc>
          <w:tcPr>
            <w:tcW w:w="3247" w:type="dxa"/>
            <w:gridSpan w:val="2"/>
            <w:noWrap w:val="0"/>
            <w:vAlign w:val="center"/>
          </w:tcPr>
          <w:p w14:paraId="113FFBB0">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耐穿透</w:t>
            </w:r>
            <w:r>
              <w:rPr>
                <w:rFonts w:hint="eastAsia" w:ascii="方正仿宋_GBK" w:hAnsi="方正仿宋_GBK" w:eastAsia="方正仿宋_GBK" w:cs="方正仿宋_GBK"/>
                <w:color w:val="000000"/>
                <w:sz w:val="32"/>
                <w:szCs w:val="32"/>
                <w:vertAlign w:val="superscript"/>
              </w:rPr>
              <w:t>b</w:t>
            </w:r>
          </w:p>
        </w:tc>
        <w:tc>
          <w:tcPr>
            <w:tcW w:w="2616" w:type="dxa"/>
            <w:noWrap w:val="0"/>
            <w:vAlign w:val="center"/>
          </w:tcPr>
          <w:p w14:paraId="7A10071E">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c>
          <w:tcPr>
            <w:tcW w:w="2804" w:type="dxa"/>
            <w:noWrap w:val="0"/>
            <w:vAlign w:val="center"/>
          </w:tcPr>
          <w:p w14:paraId="243AA293">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GB 811</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2022</w:t>
            </w:r>
          </w:p>
        </w:tc>
      </w:tr>
      <w:tr w14:paraId="2794E3F7">
        <w:trPr>
          <w:trHeight w:val="1124" w:hRule="atLeast"/>
        </w:trPr>
        <w:tc>
          <w:tcPr>
            <w:tcW w:w="9566" w:type="dxa"/>
            <w:gridSpan w:val="5"/>
            <w:noWrap w:val="0"/>
            <w:vAlign w:val="center"/>
          </w:tcPr>
          <w:p w14:paraId="440D934A">
            <w:pPr>
              <w:snapToGrid w:val="0"/>
              <w:spacing w:line="300" w:lineRule="exact"/>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注：a 壳体不测5.1.2.1、5.1.2.2.b），5.1.2.2.d）反光材料只测总面积和左、右、后三个方向可见；</w:t>
            </w:r>
          </w:p>
          <w:p w14:paraId="3565E591">
            <w:pPr>
              <w:snapToGrid w:val="0"/>
              <w:spacing w:line="300" w:lineRule="exact"/>
              <w:ind w:firstLine="640" w:firstLineChars="200"/>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b 环境前处理采用低温。</w:t>
            </w:r>
          </w:p>
        </w:tc>
      </w:tr>
    </w:tbl>
    <w:p w14:paraId="63502BB3">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检验方法包括相关产品标准及试验方法标准。</w:t>
      </w:r>
    </w:p>
    <w:p w14:paraId="2573AE8F">
      <w:pPr>
        <w:autoSpaceDE/>
        <w:autoSpaceDN/>
        <w:spacing w:line="600" w:lineRule="exact"/>
        <w:ind w:firstLine="640" w:firstLineChars="200"/>
        <w:jc w:val="both"/>
        <w:rPr>
          <w:rFonts w:ascii="方正黑体_GBK" w:hAnsi="方正仿宋_GBK" w:eastAsia="方正黑体_GBK" w:cs="方正仿宋_GBK"/>
          <w:sz w:val="32"/>
          <w:szCs w:val="32"/>
          <w:shd w:val="clear" w:color="auto" w:fill="FFFFFF"/>
        </w:rPr>
      </w:pPr>
      <w:r>
        <w:rPr>
          <w:rFonts w:hint="eastAsia" w:ascii="方正仿宋_GBK" w:hAnsi="方正仿宋_GBK" w:eastAsia="方正仿宋_GBK" w:cs="方正仿宋_GBK"/>
          <w:kern w:val="2"/>
          <w:sz w:val="32"/>
          <w:szCs w:val="32"/>
          <w:lang w:val="en-US" w:bidi="ar-SA"/>
        </w:rPr>
        <w:t>凡是注日期的文件，其随后所有的修改单（不包括勘误的内容）或修订版不适用于本细则。凡是不注日期的文件，其最新版本适用于本细则。</w:t>
      </w:r>
    </w:p>
    <w:p w14:paraId="38434B77">
      <w:pPr>
        <w:autoSpaceDE/>
        <w:autoSpaceDN/>
        <w:spacing w:line="600" w:lineRule="exact"/>
        <w:ind w:firstLine="640" w:firstLineChars="200"/>
        <w:rPr>
          <w:rFonts w:ascii="方正黑体_GBK" w:hAnsi="方正仿宋_GBK" w:eastAsia="方正黑体_GBK" w:cs="方正仿宋_GBK"/>
          <w:sz w:val="32"/>
          <w:szCs w:val="32"/>
          <w:shd w:val="clear" w:color="auto" w:fill="FFFFFF"/>
        </w:rPr>
      </w:pPr>
      <w:r>
        <w:rPr>
          <w:rFonts w:hint="eastAsia" w:ascii="方正黑体_GBK" w:hAnsi="方正仿宋_GBK" w:eastAsia="方正黑体_GBK" w:cs="方正仿宋_GBK"/>
          <w:sz w:val="32"/>
          <w:szCs w:val="32"/>
          <w:shd w:val="clear" w:color="auto" w:fill="FFFFFF"/>
        </w:rPr>
        <w:t>4.判定规则</w:t>
      </w:r>
    </w:p>
    <w:p w14:paraId="090E65D3">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4.1</w:t>
      </w:r>
      <w:r>
        <w:rPr>
          <w:rFonts w:hint="eastAsia" w:ascii="方正仿宋_GBK" w:hAnsi="方正仿宋_GBK" w:eastAsia="方正仿宋_GBK" w:cs="方正仿宋_GBK"/>
          <w:sz w:val="32"/>
          <w:szCs w:val="32"/>
        </w:rPr>
        <w:t>依据标准</w:t>
      </w:r>
      <w:bookmarkStart w:id="0" w:name="_GoBack"/>
      <w:bookmarkEnd w:id="0"/>
    </w:p>
    <w:p w14:paraId="3507F66D">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GB 811—2022 摩托车、电动自行车乘员头盔</w:t>
      </w:r>
    </w:p>
    <w:p w14:paraId="63D96C35">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现行有效的企业标准、团体标准、地方标准及产品明示质量要求</w:t>
      </w:r>
    </w:p>
    <w:p w14:paraId="0BE6C22E">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4.2</w:t>
      </w:r>
      <w:r>
        <w:rPr>
          <w:rFonts w:hint="eastAsia" w:ascii="方正仿宋_GBK" w:hAnsi="方正仿宋_GBK" w:eastAsia="方正仿宋_GBK" w:cs="方正仿宋_GBK"/>
          <w:sz w:val="32"/>
          <w:szCs w:val="32"/>
        </w:rPr>
        <w:t>判定原则</w:t>
      </w:r>
    </w:p>
    <w:p w14:paraId="6513FA71">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sz w:val="32"/>
          <w:szCs w:val="32"/>
        </w:rPr>
        <w:t>经</w:t>
      </w:r>
      <w:r>
        <w:rPr>
          <w:rFonts w:hint="eastAsia" w:ascii="方正仿宋_GBK" w:hAnsi="方正仿宋_GBK" w:eastAsia="方正仿宋_GBK" w:cs="方正仿宋_GBK"/>
          <w:sz w:val="32"/>
          <w:szCs w:val="32"/>
          <w:lang w:val="en-US"/>
        </w:rPr>
        <w:t>抽样</w:t>
      </w:r>
      <w:r>
        <w:rPr>
          <w:rFonts w:hint="eastAsia" w:ascii="方正仿宋_GBK" w:hAnsi="方正仿宋_GBK" w:eastAsia="方正仿宋_GBK" w:cs="方正仿宋_GBK"/>
          <w:sz w:val="32"/>
          <w:szCs w:val="32"/>
        </w:rPr>
        <w:t>检验，检验项目全部合格，判定为</w:t>
      </w:r>
      <w:r>
        <w:rPr>
          <w:rFonts w:hint="eastAsia" w:ascii="方正仿宋_GBK" w:hAnsi="方正仿宋_GBK" w:eastAsia="方正仿宋_GBK" w:cs="方正仿宋_GBK"/>
          <w:sz w:val="32"/>
          <w:szCs w:val="32"/>
          <w:lang w:val="en-US"/>
        </w:rPr>
        <w:t>未发现不合格</w:t>
      </w:r>
      <w:r>
        <w:rPr>
          <w:rFonts w:hint="eastAsia" w:ascii="方正仿宋_GBK" w:hAnsi="方正仿宋_GBK" w:eastAsia="方正仿宋_GBK" w:cs="方正仿宋_GBK"/>
          <w:sz w:val="32"/>
          <w:szCs w:val="32"/>
        </w:rPr>
        <w:t>；检验项目中任一项或一项以上不合格，判定为不合格。</w:t>
      </w:r>
    </w:p>
    <w:p w14:paraId="3C6DA3D9">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若被检产品明示的质量要求高于本细则中检验项目依据的标准要求时，应按被检产品明示的质量要求判定。</w:t>
      </w:r>
    </w:p>
    <w:p w14:paraId="2E71D9EB">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若被检产品明示的质量要求低于本细则中检验项目依据的强制性标准要求时，应按照强制性标准要求判定。</w:t>
      </w:r>
    </w:p>
    <w:p w14:paraId="49ABB5AC">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若被检产品明示的质量要求低于或包含细则中检验项目依据的推荐性标准要求时，应以被检产品明示的质量要求判定，但应在检验报告备注中进行说明。</w:t>
      </w:r>
    </w:p>
    <w:p w14:paraId="1938AE4C">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若被检产品明示的质量要求缺少本细则中检验项目依据的强制性标准要求时，应按照强制性标准要求判定。</w:t>
      </w:r>
    </w:p>
    <w:p w14:paraId="0323F60F">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若被检产品明示的质量要求缺少本细则中检验项目依据的推荐性标准要求时，该项目不参与判定，但应在检验报告备注中进行说明。</w:t>
      </w:r>
    </w:p>
    <w:p w14:paraId="2ACCDF67">
      <w:pPr>
        <w:autoSpaceDE/>
        <w:autoSpaceDN/>
        <w:spacing w:line="600" w:lineRule="exact"/>
        <w:ind w:firstLine="640" w:firstLineChars="200"/>
        <w:rPr>
          <w:rFonts w:ascii="方正黑体_GBK" w:hAnsi="方正仿宋_GBK" w:eastAsia="方正黑体_GBK" w:cs="方正仿宋_GBK"/>
          <w:sz w:val="32"/>
          <w:szCs w:val="32"/>
          <w:shd w:val="clear" w:color="auto" w:fill="FFFFFF"/>
        </w:rPr>
      </w:pPr>
      <w:r>
        <w:rPr>
          <w:rFonts w:hint="eastAsia" w:ascii="方正黑体_GBK" w:hAnsi="方正仿宋_GBK" w:eastAsia="方正黑体_GBK" w:cs="方正仿宋_GBK"/>
          <w:sz w:val="32"/>
          <w:szCs w:val="32"/>
          <w:shd w:val="clear" w:color="auto" w:fill="FFFFFF"/>
        </w:rPr>
        <w:t>5.异议处理</w:t>
      </w:r>
    </w:p>
    <w:p w14:paraId="7B73CB2B">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5.1对监督抽查程序有异议的，由任务下达部门核查相关证据后维持或者撤销原检验结果。</w:t>
      </w:r>
    </w:p>
    <w:p w14:paraId="09AD2C1B">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5.2对检验结果有异议的，任务下达部门核查相关证据，能够证明原检验结果准确的，维持原检验结果；不能证明原检验结果准确，需要进行复检的，由任务下达部门指定复检机构进行复检，复检结果为本次监督抽查最终结论。</w:t>
      </w:r>
    </w:p>
    <w:p w14:paraId="5383AF8B">
      <w:pPr>
        <w:autoSpaceDE/>
        <w:autoSpaceDN/>
        <w:spacing w:line="600" w:lineRule="exact"/>
        <w:ind w:firstLine="640" w:firstLineChars="200"/>
        <w:jc w:val="both"/>
        <w:rPr>
          <w:rFonts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5.3对样品信息有异议的，任务下达部门核查样品确认情况和生产企业提交证明材料后，维持或者撤销原检验结果。</w:t>
      </w:r>
    </w:p>
    <w:p w14:paraId="04D4DC4D">
      <w:pPr>
        <w:pStyle w:val="5"/>
        <w:tabs>
          <w:tab w:val="left" w:pos="967"/>
          <w:tab w:val="left" w:pos="969"/>
        </w:tabs>
        <w:spacing w:line="600" w:lineRule="exact"/>
        <w:ind w:left="0" w:firstLine="640" w:firstLineChars="200"/>
        <w:rPr>
          <w:rFonts w:ascii="方正仿宋_GBK" w:hAnsi="方正仿宋_GBK" w:eastAsia="方正仿宋_GBK" w:cs="方正仿宋_GBK"/>
          <w:b w:val="0"/>
          <w:bCs w:val="0"/>
          <w:kern w:val="2"/>
          <w:sz w:val="32"/>
          <w:szCs w:val="32"/>
        </w:rPr>
      </w:pPr>
    </w:p>
    <w:sectPr>
      <w:footerReference r:id="rId3" w:type="default"/>
      <w:pgSz w:w="11910" w:h="16840"/>
      <w:pgMar w:top="1440" w:right="1080" w:bottom="1440" w:left="10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altName w:val="汉仪中黑KW"/>
    <w:panose1 w:val="00000000000000000000"/>
    <w:charset w:val="00"/>
    <w:family w:val="auto"/>
    <w:pitch w:val="default"/>
    <w:sig w:usb0="00000000" w:usb1="00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3E05C">
    <w:pPr>
      <w:pStyle w:val="6"/>
      <w:spacing w:line="14" w:lineRule="auto"/>
      <w:rPr>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EF6E4D">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9EF6E4D">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5NmEzYzZjM2VlYjhkZGIyZjc2ZDcxYWM4NjEyNjgifQ=="/>
  </w:docVars>
  <w:rsids>
    <w:rsidRoot w:val="00D74BB0"/>
    <w:rsid w:val="0000650C"/>
    <w:rsid w:val="0003266E"/>
    <w:rsid w:val="00042E52"/>
    <w:rsid w:val="00075D2C"/>
    <w:rsid w:val="000831B2"/>
    <w:rsid w:val="00087661"/>
    <w:rsid w:val="000E438C"/>
    <w:rsid w:val="000F1035"/>
    <w:rsid w:val="00114B79"/>
    <w:rsid w:val="001228F5"/>
    <w:rsid w:val="00123C22"/>
    <w:rsid w:val="00164799"/>
    <w:rsid w:val="00164C00"/>
    <w:rsid w:val="001760BA"/>
    <w:rsid w:val="001C333A"/>
    <w:rsid w:val="001C67A8"/>
    <w:rsid w:val="002851E4"/>
    <w:rsid w:val="002B6731"/>
    <w:rsid w:val="002D7400"/>
    <w:rsid w:val="003031BA"/>
    <w:rsid w:val="003175BB"/>
    <w:rsid w:val="00363384"/>
    <w:rsid w:val="0036591F"/>
    <w:rsid w:val="00395BCD"/>
    <w:rsid w:val="003C321B"/>
    <w:rsid w:val="003D4C42"/>
    <w:rsid w:val="003F788A"/>
    <w:rsid w:val="004058B1"/>
    <w:rsid w:val="00432A23"/>
    <w:rsid w:val="00435ACF"/>
    <w:rsid w:val="004626D2"/>
    <w:rsid w:val="00477D1A"/>
    <w:rsid w:val="0048122B"/>
    <w:rsid w:val="00491441"/>
    <w:rsid w:val="00493196"/>
    <w:rsid w:val="004B1147"/>
    <w:rsid w:val="004B1CE9"/>
    <w:rsid w:val="004D52A2"/>
    <w:rsid w:val="00533F57"/>
    <w:rsid w:val="00537E82"/>
    <w:rsid w:val="00557205"/>
    <w:rsid w:val="005833D3"/>
    <w:rsid w:val="00611AA6"/>
    <w:rsid w:val="00611E80"/>
    <w:rsid w:val="00614648"/>
    <w:rsid w:val="00621C5C"/>
    <w:rsid w:val="00665DE6"/>
    <w:rsid w:val="00684D22"/>
    <w:rsid w:val="006B3A82"/>
    <w:rsid w:val="006D13F8"/>
    <w:rsid w:val="007312EA"/>
    <w:rsid w:val="00731407"/>
    <w:rsid w:val="00741C21"/>
    <w:rsid w:val="0074736E"/>
    <w:rsid w:val="00747918"/>
    <w:rsid w:val="007522DE"/>
    <w:rsid w:val="007637F5"/>
    <w:rsid w:val="00767619"/>
    <w:rsid w:val="00775579"/>
    <w:rsid w:val="008225CF"/>
    <w:rsid w:val="008A359A"/>
    <w:rsid w:val="008F390B"/>
    <w:rsid w:val="009034C0"/>
    <w:rsid w:val="00903E92"/>
    <w:rsid w:val="0090775C"/>
    <w:rsid w:val="00912CC4"/>
    <w:rsid w:val="00923C62"/>
    <w:rsid w:val="009249DD"/>
    <w:rsid w:val="009555B3"/>
    <w:rsid w:val="0098052D"/>
    <w:rsid w:val="00A30987"/>
    <w:rsid w:val="00A60356"/>
    <w:rsid w:val="00A61ABB"/>
    <w:rsid w:val="00AA3B6D"/>
    <w:rsid w:val="00AC0C0B"/>
    <w:rsid w:val="00AC3FED"/>
    <w:rsid w:val="00AE2A65"/>
    <w:rsid w:val="00AF6DC8"/>
    <w:rsid w:val="00B07BCE"/>
    <w:rsid w:val="00B52AAF"/>
    <w:rsid w:val="00B60C93"/>
    <w:rsid w:val="00B913AD"/>
    <w:rsid w:val="00B95581"/>
    <w:rsid w:val="00BC446E"/>
    <w:rsid w:val="00BD18CC"/>
    <w:rsid w:val="00BF54E9"/>
    <w:rsid w:val="00C027A4"/>
    <w:rsid w:val="00C16AD7"/>
    <w:rsid w:val="00C201F5"/>
    <w:rsid w:val="00C22A5B"/>
    <w:rsid w:val="00C37A6F"/>
    <w:rsid w:val="00C53ED0"/>
    <w:rsid w:val="00C9766F"/>
    <w:rsid w:val="00CC1D12"/>
    <w:rsid w:val="00CF7936"/>
    <w:rsid w:val="00D55525"/>
    <w:rsid w:val="00D74BB0"/>
    <w:rsid w:val="00DD4AF9"/>
    <w:rsid w:val="00DE70E1"/>
    <w:rsid w:val="00E02AF4"/>
    <w:rsid w:val="00E17597"/>
    <w:rsid w:val="00E6478C"/>
    <w:rsid w:val="00E90284"/>
    <w:rsid w:val="00EA2643"/>
    <w:rsid w:val="00ED4951"/>
    <w:rsid w:val="00F02FDD"/>
    <w:rsid w:val="00F21EBC"/>
    <w:rsid w:val="00F24F0D"/>
    <w:rsid w:val="00F51DE5"/>
    <w:rsid w:val="00F5409D"/>
    <w:rsid w:val="00F637EE"/>
    <w:rsid w:val="00F67193"/>
    <w:rsid w:val="00FA6411"/>
    <w:rsid w:val="00FB0EB0"/>
    <w:rsid w:val="00FC734D"/>
    <w:rsid w:val="00FD14E7"/>
    <w:rsid w:val="0B007BD2"/>
    <w:rsid w:val="0FFD2735"/>
    <w:rsid w:val="1137070D"/>
    <w:rsid w:val="117D5540"/>
    <w:rsid w:val="14BD0584"/>
    <w:rsid w:val="1AD867BE"/>
    <w:rsid w:val="1F9C6A9E"/>
    <w:rsid w:val="37F95C4C"/>
    <w:rsid w:val="39FA77C8"/>
    <w:rsid w:val="3F63069C"/>
    <w:rsid w:val="3FFFCC56"/>
    <w:rsid w:val="4C753AE6"/>
    <w:rsid w:val="4F174970"/>
    <w:rsid w:val="50A43D89"/>
    <w:rsid w:val="556FB086"/>
    <w:rsid w:val="5E631DAD"/>
    <w:rsid w:val="68EE2392"/>
    <w:rsid w:val="6A7FF112"/>
    <w:rsid w:val="6DEF9193"/>
    <w:rsid w:val="6F4FDBF0"/>
    <w:rsid w:val="77F790C1"/>
    <w:rsid w:val="77FD88E1"/>
    <w:rsid w:val="79FF5450"/>
    <w:rsid w:val="7BFFE017"/>
    <w:rsid w:val="7FD741CB"/>
    <w:rsid w:val="AD7F5271"/>
    <w:rsid w:val="BDEE00AA"/>
    <w:rsid w:val="D4FA6AFC"/>
    <w:rsid w:val="D7FD73D0"/>
    <w:rsid w:val="D9EE4008"/>
    <w:rsid w:val="DF8D3B95"/>
    <w:rsid w:val="EBAF7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2121" w:right="2138"/>
      <w:jc w:val="center"/>
      <w:outlineLvl w:val="0"/>
    </w:pPr>
    <w:rPr>
      <w:b/>
      <w:bCs/>
      <w:sz w:val="32"/>
      <w:szCs w:val="32"/>
    </w:rPr>
  </w:style>
  <w:style w:type="paragraph" w:styleId="3">
    <w:name w:val="heading 2"/>
    <w:basedOn w:val="1"/>
    <w:next w:val="1"/>
    <w:qFormat/>
    <w:uiPriority w:val="1"/>
    <w:pPr>
      <w:ind w:left="789"/>
      <w:outlineLvl w:val="1"/>
    </w:pPr>
    <w:rPr>
      <w:b/>
      <w:bCs/>
      <w:sz w:val="28"/>
      <w:szCs w:val="28"/>
    </w:rPr>
  </w:style>
  <w:style w:type="paragraph" w:styleId="4">
    <w:name w:val="heading 3"/>
    <w:basedOn w:val="1"/>
    <w:next w:val="1"/>
    <w:qFormat/>
    <w:uiPriority w:val="1"/>
    <w:pPr>
      <w:spacing w:before="186"/>
      <w:ind w:left="227"/>
      <w:outlineLvl w:val="2"/>
    </w:pPr>
    <w:rPr>
      <w:sz w:val="28"/>
      <w:szCs w:val="28"/>
    </w:rPr>
  </w:style>
  <w:style w:type="paragraph" w:styleId="5">
    <w:name w:val="heading 4"/>
    <w:basedOn w:val="1"/>
    <w:next w:val="1"/>
    <w:qFormat/>
    <w:uiPriority w:val="1"/>
    <w:pPr>
      <w:ind w:left="862"/>
      <w:outlineLvl w:val="3"/>
    </w:pPr>
    <w:rPr>
      <w:b/>
      <w:bCs/>
      <w:sz w:val="21"/>
      <w:szCs w:val="21"/>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6">
    <w:name w:val="Body Text"/>
    <w:basedOn w:val="1"/>
    <w:link w:val="19"/>
    <w:qFormat/>
    <w:uiPriority w:val="1"/>
    <w:rPr>
      <w:sz w:val="21"/>
      <w:szCs w:val="21"/>
    </w:rPr>
  </w:style>
  <w:style w:type="paragraph" w:styleId="7">
    <w:name w:val="Balloon Text"/>
    <w:basedOn w:val="1"/>
    <w:link w:val="16"/>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unhideWhenUsed/>
    <w:qFormat/>
    <w:uiPriority w:val="2"/>
    <w:tblPr>
      <w:tblCellMar>
        <w:top w:w="0" w:type="dxa"/>
        <w:left w:w="0" w:type="dxa"/>
        <w:bottom w:w="0" w:type="dxa"/>
        <w:right w:w="0" w:type="dxa"/>
      </w:tblCellMar>
    </w:tblPr>
  </w:style>
  <w:style w:type="paragraph" w:customStyle="1" w:styleId="14">
    <w:name w:val="列出段落1"/>
    <w:basedOn w:val="1"/>
    <w:qFormat/>
    <w:uiPriority w:val="1"/>
    <w:pPr>
      <w:ind w:left="227" w:firstLine="420"/>
    </w:pPr>
  </w:style>
  <w:style w:type="paragraph" w:customStyle="1" w:styleId="15">
    <w:name w:val="Table Paragraph"/>
    <w:basedOn w:val="1"/>
    <w:qFormat/>
    <w:uiPriority w:val="1"/>
  </w:style>
  <w:style w:type="character" w:customStyle="1" w:styleId="16">
    <w:name w:val="批注框文本 字符"/>
    <w:basedOn w:val="12"/>
    <w:link w:val="7"/>
    <w:semiHidden/>
    <w:qFormat/>
    <w:uiPriority w:val="99"/>
    <w:rPr>
      <w:rFonts w:ascii="宋体" w:hAnsi="宋体" w:eastAsia="宋体" w:cs="宋体"/>
      <w:sz w:val="18"/>
      <w:szCs w:val="18"/>
      <w:lang w:val="zh-CN" w:eastAsia="zh-CN" w:bidi="zh-CN"/>
    </w:rPr>
  </w:style>
  <w:style w:type="character" w:customStyle="1" w:styleId="17">
    <w:name w:val="页眉 字符"/>
    <w:basedOn w:val="12"/>
    <w:link w:val="9"/>
    <w:qFormat/>
    <w:uiPriority w:val="99"/>
    <w:rPr>
      <w:rFonts w:ascii="宋体" w:hAnsi="宋体" w:eastAsia="宋体" w:cs="宋体"/>
      <w:sz w:val="18"/>
      <w:szCs w:val="18"/>
      <w:lang w:val="zh-CN" w:eastAsia="zh-CN" w:bidi="zh-CN"/>
    </w:rPr>
  </w:style>
  <w:style w:type="character" w:customStyle="1" w:styleId="18">
    <w:name w:val="页脚 字符"/>
    <w:basedOn w:val="12"/>
    <w:link w:val="8"/>
    <w:qFormat/>
    <w:uiPriority w:val="99"/>
    <w:rPr>
      <w:rFonts w:ascii="宋体" w:hAnsi="宋体" w:eastAsia="宋体" w:cs="宋体"/>
      <w:sz w:val="18"/>
      <w:szCs w:val="18"/>
      <w:lang w:val="zh-CN" w:eastAsia="zh-CN" w:bidi="zh-CN"/>
    </w:rPr>
  </w:style>
  <w:style w:type="character" w:customStyle="1" w:styleId="19">
    <w:name w:val="正文文本 字符"/>
    <w:basedOn w:val="12"/>
    <w:link w:val="6"/>
    <w:qFormat/>
    <w:uiPriority w:val="1"/>
    <w:rPr>
      <w:rFonts w:ascii="宋体" w:hAnsi="宋体" w:eastAsia="宋体" w:cs="宋体"/>
      <w:sz w:val="21"/>
      <w:szCs w:val="21"/>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合肥产品质量监督检验研究院</Company>
  <Pages>3</Pages>
  <Words>195</Words>
  <Characters>1116</Characters>
  <Lines>9</Lines>
  <Paragraphs>2</Paragraphs>
  <TotalTime>0</TotalTime>
  <ScaleCrop>false</ScaleCrop>
  <LinksUpToDate>false</LinksUpToDate>
  <CharactersWithSpaces>1309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2026-04-14T05:54:00Z</dcterms:created>
  <dc:creator>合肥质检院，程浩</dc:creator>
  <cp:lastModifiedBy>Abt a song</cp:lastModifiedBy>
  <dcterms:modified xsi:type="dcterms:W3CDTF">2026-06-23T17:03:17Z</dcterms:modified>
  <dc:title>安全帽产品质量监督抽查实施细则</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PScript5.dll Version 5.2</vt:lpwstr>
  </property>
  <property fmtid="{D5CDD505-2E9C-101B-9397-08002B2CF9AE}" pid="4" name="LastSaved">
    <vt:filetime>2019-01-21T00:00:00Z</vt:filetime>
  </property>
  <property fmtid="{D5CDD505-2E9C-101B-9397-08002B2CF9AE}" pid="5" name="KSOProductBuildVer">
    <vt:lpwstr>2052-12.1.25895.25895</vt:lpwstr>
  </property>
  <property fmtid="{D5CDD505-2E9C-101B-9397-08002B2CF9AE}" pid="6" name="ICV">
    <vt:lpwstr>AD17B1E6C3ECC1D3D54B3A6AC7D17D2E_43</vt:lpwstr>
  </property>
</Properties>
</file>