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BA3" w:rsidRDefault="000226DB" w:rsidP="001B2F8D">
      <w:pPr>
        <w:spacing w:line="460" w:lineRule="exact"/>
        <w:ind w:firstLineChars="49" w:firstLine="176"/>
        <w:rPr>
          <w:rFonts w:eastAsia="仿宋_GB2312"/>
          <w:sz w:val="36"/>
          <w:szCs w:val="36"/>
        </w:rPr>
      </w:pPr>
      <w:r>
        <w:rPr>
          <w:rFonts w:eastAsia="仿宋_GB2312" w:hint="eastAsia"/>
          <w:kern w:val="0"/>
          <w:sz w:val="36"/>
          <w:szCs w:val="36"/>
        </w:rPr>
        <w:t>连市监办复</w:t>
      </w:r>
      <w:r>
        <w:rPr>
          <w:rFonts w:ascii="Times New Roman" w:eastAsia="仿宋_GB2312" w:hAnsi="Times New Roman" w:cs="Times New Roman"/>
          <w:sz w:val="32"/>
          <w:szCs w:val="32"/>
        </w:rPr>
        <w:t>〔</w:t>
      </w:r>
      <w:r>
        <w:rPr>
          <w:rFonts w:ascii="Times New Roman" w:eastAsia="仿宋_GB2312" w:hAnsi="Times New Roman" w:cs="Times New Roman"/>
          <w:sz w:val="32"/>
          <w:szCs w:val="32"/>
        </w:rPr>
        <w:t>2025</w:t>
      </w:r>
      <w:r>
        <w:rPr>
          <w:rFonts w:ascii="Times New Roman" w:eastAsia="仿宋_GB2312" w:hAnsi="Times New Roman" w:cs="Times New Roman"/>
          <w:sz w:val="32"/>
          <w:szCs w:val="32"/>
        </w:rPr>
        <w:t>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88</w:t>
      </w:r>
      <w:r>
        <w:rPr>
          <w:rFonts w:eastAsia="仿宋_GB2312"/>
          <w:sz w:val="32"/>
          <w:szCs w:val="32"/>
        </w:rPr>
        <w:t>号</w:t>
      </w:r>
      <w:r>
        <w:rPr>
          <w:rFonts w:eastAsia="仿宋_GB2312"/>
          <w:sz w:val="32"/>
          <w:szCs w:val="32"/>
        </w:rPr>
        <w:t xml:space="preserve">               </w:t>
      </w:r>
      <w:r>
        <w:rPr>
          <w:rFonts w:eastAsia="仿宋_GB2312"/>
          <w:sz w:val="32"/>
          <w:szCs w:val="32"/>
        </w:rPr>
        <w:t>签发人：</w:t>
      </w:r>
      <w:r>
        <w:rPr>
          <w:rFonts w:eastAsia="仿宋_GB2312" w:hint="eastAsia"/>
          <w:sz w:val="32"/>
          <w:szCs w:val="32"/>
        </w:rPr>
        <w:t>张依东</w:t>
      </w:r>
    </w:p>
    <w:p w:rsidR="00807BA3" w:rsidRDefault="00807BA3" w:rsidP="001B2F8D">
      <w:pPr>
        <w:spacing w:line="460" w:lineRule="exact"/>
        <w:jc w:val="center"/>
        <w:rPr>
          <w:rFonts w:eastAsia="方正小标宋简体"/>
          <w:sz w:val="44"/>
          <w:szCs w:val="44"/>
        </w:rPr>
      </w:pPr>
    </w:p>
    <w:p w:rsidR="00807BA3" w:rsidRDefault="000226DB" w:rsidP="001B2F8D">
      <w:pPr>
        <w:spacing w:line="460" w:lineRule="exact"/>
        <w:jc w:val="center"/>
        <w:rPr>
          <w:rFonts w:ascii="方正小标宋_GBK" w:eastAsia="方正小标宋_GBK"/>
          <w:color w:val="000000"/>
          <w:spacing w:val="20"/>
          <w:sz w:val="44"/>
          <w:szCs w:val="44"/>
        </w:rPr>
      </w:pPr>
      <w:r>
        <w:rPr>
          <w:rFonts w:ascii="方正小标宋_GBK" w:eastAsia="方正小标宋_GBK" w:hint="eastAsia"/>
          <w:color w:val="000000"/>
          <w:spacing w:val="20"/>
          <w:sz w:val="44"/>
          <w:szCs w:val="44"/>
        </w:rPr>
        <w:t>对市政协十四届四次会议</w:t>
      </w:r>
    </w:p>
    <w:p w:rsidR="00807BA3" w:rsidRDefault="000226DB" w:rsidP="001B2F8D">
      <w:pPr>
        <w:spacing w:line="46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第</w:t>
      </w:r>
      <w:r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44227</w:t>
      </w:r>
      <w:r>
        <w:rPr>
          <w:rFonts w:ascii="方正小标宋_GBK" w:eastAsia="方正小标宋_GBK" w:hint="eastAsia"/>
          <w:color w:val="000000"/>
          <w:sz w:val="44"/>
          <w:szCs w:val="44"/>
        </w:rPr>
        <w:t>号</w:t>
      </w:r>
      <w:r>
        <w:rPr>
          <w:rFonts w:ascii="方正小标宋_GBK" w:eastAsia="方正小标宋_GBK" w:hint="eastAsia"/>
          <w:color w:val="000000"/>
          <w:sz w:val="44"/>
          <w:szCs w:val="44"/>
        </w:rPr>
        <w:t>提案</w:t>
      </w:r>
      <w:r>
        <w:rPr>
          <w:rFonts w:ascii="方正小标宋_GBK" w:eastAsia="方正小标宋_GBK" w:hint="eastAsia"/>
          <w:color w:val="000000"/>
          <w:sz w:val="44"/>
          <w:szCs w:val="44"/>
        </w:rPr>
        <w:t>的</w:t>
      </w:r>
      <w:r>
        <w:rPr>
          <w:rFonts w:ascii="方正小标宋_GBK" w:eastAsia="方正小标宋_GBK" w:hint="eastAsia"/>
          <w:color w:val="000000"/>
          <w:sz w:val="44"/>
          <w:szCs w:val="44"/>
        </w:rPr>
        <w:t>答复</w:t>
      </w:r>
    </w:p>
    <w:p w:rsidR="00807BA3" w:rsidRDefault="00807BA3" w:rsidP="001B2F8D">
      <w:pPr>
        <w:spacing w:line="460" w:lineRule="exact"/>
        <w:rPr>
          <w:rFonts w:eastAsia="仿宋_GB2312"/>
          <w:sz w:val="32"/>
          <w:szCs w:val="32"/>
        </w:rPr>
      </w:pPr>
    </w:p>
    <w:p w:rsidR="00807BA3" w:rsidRDefault="000226DB" w:rsidP="001B2F8D">
      <w:pPr>
        <w:spacing w:line="460" w:lineRule="exact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王海英委员：</w:t>
      </w:r>
    </w:p>
    <w:p w:rsidR="00807BA3" w:rsidRDefault="000226DB" w:rsidP="001B2F8D">
      <w:pPr>
        <w:spacing w:line="46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您提出的《关于营造公平市场环境，严防短斤少两的提案》收悉。您在提案中深入分析了当前农贸海鲜市场等领域计量乱象及成因，提出的建议针对性强、贴合实际，对我们加强计量监管、规范市场秩序具有重要指导意义。我局高度重视，结合我市计量监管工作实际，现就有关情况答复如下：</w:t>
      </w:r>
    </w:p>
    <w:p w:rsidR="00807BA3" w:rsidRDefault="000226DB" w:rsidP="001B2F8D">
      <w:pPr>
        <w:spacing w:line="460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一、强化日常监管，筑牢计量监管防线</w:t>
      </w:r>
    </w:p>
    <w:p w:rsidR="00807BA3" w:rsidRDefault="000226DB" w:rsidP="001B2F8D">
      <w:pPr>
        <w:spacing w:line="4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color w:val="000000" w:themeColor="text1"/>
          <w:sz w:val="32"/>
          <w:szCs w:val="32"/>
        </w:rPr>
        <w:t>一是建立常态化督查机制。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聚焦农贸市场、海鲜水产店等计量问题重点领域，建立常态化督查机制，通过高频次检查压实主办方主体责任。今年已组织</w:t>
      </w:r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次专项行动，主要核查商户在用计量器具是否合规、市场“公平秤”是否定期校准等情况，对发现的计量器具失准、未按规定检定等问题，要求限期整改到位。组织技术人员深入市场一线，为商户提供免费检定服务，完成电子计价秤免费检定</w:t>
      </w:r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.</w:t>
      </w:r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万台件。</w:t>
      </w:r>
    </w:p>
    <w:p w:rsidR="00807BA3" w:rsidRDefault="000226DB" w:rsidP="001B2F8D">
      <w:pPr>
        <w:spacing w:line="4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color w:val="000000" w:themeColor="text1"/>
          <w:sz w:val="32"/>
          <w:szCs w:val="32"/>
        </w:rPr>
        <w:t>二是加大案件查办力度。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对检查中发现的“鬼秤”、“假秤”、短斤少两等问题，坚持“发现一起、查处一起”。严格遵循法定程序，对涉案计量器具依法封存检测，对违法事实清楚、证据确凿的从快处罚。今年全市查处各类计量违法案件</w:t>
      </w:r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19</w:t>
      </w:r>
      <w:bookmarkStart w:id="0" w:name="OLE_LINK4"/>
      <w:bookmarkStart w:id="1" w:name="OLE_LINK3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件</w:t>
      </w:r>
      <w:bookmarkEnd w:id="0"/>
      <w:bookmarkEnd w:id="1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，已办结</w:t>
      </w:r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件。建立案件查办台账，对未办结案件明确时限、专人跟进，做到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件件有结果。</w:t>
      </w:r>
    </w:p>
    <w:p w:rsidR="00807BA3" w:rsidRDefault="000226DB" w:rsidP="001B2F8D">
      <w:pPr>
        <w:spacing w:line="4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color w:val="000000" w:themeColor="text1"/>
          <w:sz w:val="32"/>
          <w:szCs w:val="32"/>
        </w:rPr>
        <w:t>三是压实市场主体责任。</w:t>
      </w:r>
      <w:bookmarkStart w:id="2" w:name="OLE_LINK17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组织宣贯《集贸市场计量监督管理办法》，明确</w:t>
      </w:r>
      <w:bookmarkStart w:id="3" w:name="OLE_LINK5"/>
      <w:bookmarkStart w:id="4" w:name="OLE_LINK6"/>
      <w:bookmarkStart w:id="5" w:name="OLE_LINK7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市场主办方</w:t>
      </w:r>
      <w:bookmarkEnd w:id="3"/>
      <w:bookmarkEnd w:id="4"/>
      <w:bookmarkEnd w:id="5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对商户计量行为的管理、监督、整改责任。开展诚信市场建设，落实市场主办方计量管理责任，在显著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lastRenderedPageBreak/>
        <w:t>位置设立“公平秤”。要求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市场主办方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每日巡查商户计量器具使用情况，对违规商户及时劝导整改，情节严重的纳入市场黑名单管理。</w:t>
      </w:r>
    </w:p>
    <w:bookmarkEnd w:id="2"/>
    <w:p w:rsidR="00807BA3" w:rsidRDefault="000226DB" w:rsidP="001B2F8D">
      <w:pPr>
        <w:spacing w:line="460" w:lineRule="exact"/>
        <w:ind w:firstLineChars="200" w:firstLine="640"/>
        <w:rPr>
          <w:rFonts w:ascii="黑体" w:eastAsia="黑体" w:hAnsi="黑体" w:cs="黑体"/>
          <w:bCs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二、</w:t>
      </w:r>
      <w:bookmarkStart w:id="6" w:name="OLE_LINK18"/>
      <w:bookmarkStart w:id="7" w:name="OLE_LINK19"/>
      <w:r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推进智慧监管，提升技术防控能力</w:t>
      </w:r>
    </w:p>
    <w:bookmarkEnd w:id="6"/>
    <w:bookmarkEnd w:id="7"/>
    <w:p w:rsidR="00807BA3" w:rsidRDefault="000226DB" w:rsidP="001B2F8D">
      <w:pPr>
        <w:spacing w:line="4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color w:val="000000" w:themeColor="text1"/>
          <w:sz w:val="32"/>
          <w:szCs w:val="32"/>
        </w:rPr>
        <w:t>一是试点推进</w:t>
      </w:r>
      <w:bookmarkStart w:id="8" w:name="OLE_LINK8"/>
      <w:bookmarkStart w:id="9" w:name="OLE_LINK9"/>
      <w:r>
        <w:rPr>
          <w:rFonts w:ascii="楷体_GB2312" w:eastAsia="楷体_GB2312" w:hAnsi="楷体_GB2312" w:cs="楷体_GB2312" w:hint="eastAsia"/>
          <w:bCs/>
          <w:color w:val="000000" w:themeColor="text1"/>
          <w:sz w:val="32"/>
          <w:szCs w:val="32"/>
        </w:rPr>
        <w:t>智慧市场建设</w:t>
      </w:r>
      <w:bookmarkEnd w:id="8"/>
      <w:bookmarkEnd w:id="9"/>
      <w:r>
        <w:rPr>
          <w:rFonts w:ascii="楷体_GB2312" w:eastAsia="楷体_GB2312" w:hAnsi="楷体_GB2312" w:cs="楷体_GB2312" w:hint="eastAsia"/>
          <w:bCs/>
          <w:color w:val="000000" w:themeColor="text1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在连云区开展全域试点，构建“一平台、三体系、多应用”监管框架。</w:t>
      </w:r>
      <w:bookmarkStart w:id="10" w:name="OLE_LINK20"/>
      <w:bookmarkStart w:id="11" w:name="OLE_LINK21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在海州</w:t>
      </w:r>
      <w:bookmarkStart w:id="12" w:name="OLE_LINK12"/>
      <w:bookmarkStart w:id="13" w:name="OLE_LINK13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海鲜</w:t>
      </w:r>
      <w:bookmarkEnd w:id="12"/>
      <w:bookmarkEnd w:id="13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直销市场、赣榆朱蓬口海鲜市场等重点场所，推行“一平台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+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一探头”模式，实行计量器具“六统一”管理，</w:t>
      </w:r>
      <w:bookmarkEnd w:id="10"/>
      <w:bookmarkEnd w:id="11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通过数字化手段实现全流程在线监管，形成“全域试点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+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重点突破”监管格局。</w:t>
      </w:r>
    </w:p>
    <w:p w:rsidR="00807BA3" w:rsidRDefault="000226DB" w:rsidP="001B2F8D">
      <w:pPr>
        <w:spacing w:line="4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color w:val="000000" w:themeColor="text1"/>
          <w:sz w:val="32"/>
          <w:szCs w:val="32"/>
        </w:rPr>
        <w:t>二是推行农贸市场“六统一”管理。</w:t>
      </w:r>
      <w:bookmarkStart w:id="14" w:name="OLE_LINK30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联合江苏银行、建设银行、农商银行等金融机构，多方筹集资金，在全市推行农贸市场电子计价秤“六统一”管理。</w:t>
      </w:r>
      <w:bookmarkEnd w:id="14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通过统一配置标准计量器具，从源头防范“鬼秤”等问题。今年完成</w:t>
      </w:r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个农贸市场“六统一”改造，统一配置电子计价秤</w:t>
      </w:r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1400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台。</w:t>
      </w:r>
    </w:p>
    <w:p w:rsidR="00807BA3" w:rsidRDefault="000226DB" w:rsidP="001B2F8D">
      <w:pPr>
        <w:spacing w:line="4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color w:val="000000" w:themeColor="text1"/>
          <w:sz w:val="32"/>
          <w:szCs w:val="32"/>
        </w:rPr>
        <w:t>三是全面落实“一秤一码”溯源。</w:t>
      </w:r>
      <w:bookmarkStart w:id="15" w:name="OLE_LINK22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在全市</w:t>
      </w:r>
      <w:bookmarkStart w:id="16" w:name="OLE_LINK15"/>
      <w:bookmarkStart w:id="17" w:name="OLE_LINK14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农贸市场</w:t>
      </w:r>
      <w:bookmarkEnd w:id="16"/>
      <w:bookmarkEnd w:id="17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全面推行电子计价秤“一秤一码”管理，对所有电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子计价秤逐一赋码，通过二维码关联秤具型号、检定记录、使用商户等信息。消费者扫码可查秤具合格状态，监管人员扫码可追溯相关数据。</w:t>
      </w:r>
      <w:bookmarkEnd w:id="15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今年完成全市集贸市场</w:t>
      </w:r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16000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余个电子计价秤</w:t>
      </w:r>
      <w:bookmarkStart w:id="18" w:name="OLE_LINK16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赋码</w:t>
      </w:r>
      <w:bookmarkEnd w:id="18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，实现农贸市场赋码全覆盖。</w:t>
      </w:r>
    </w:p>
    <w:p w:rsidR="00807BA3" w:rsidRDefault="000226DB" w:rsidP="001B2F8D">
      <w:pPr>
        <w:spacing w:line="460" w:lineRule="exact"/>
        <w:ind w:firstLineChars="200" w:firstLine="640"/>
        <w:rPr>
          <w:rFonts w:ascii="黑体" w:eastAsia="黑体" w:hAnsi="黑体" w:cs="黑体"/>
          <w:bCs/>
          <w:color w:val="000000" w:themeColor="text1"/>
          <w:sz w:val="32"/>
          <w:szCs w:val="32"/>
        </w:rPr>
      </w:pPr>
      <w:bookmarkStart w:id="19" w:name="OLE_LINK23"/>
      <w:r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三、加强宣传引导，构建社会共治格局</w:t>
      </w:r>
    </w:p>
    <w:bookmarkEnd w:id="19"/>
    <w:p w:rsidR="00807BA3" w:rsidRDefault="000226DB" w:rsidP="001B2F8D">
      <w:pPr>
        <w:spacing w:line="4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color w:val="000000" w:themeColor="text1"/>
          <w:sz w:val="32"/>
          <w:szCs w:val="32"/>
        </w:rPr>
        <w:t>一是创新线上宣传形式。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联合市总工会在“连工惠”平台推出“计量守护民生”线上有奖答题活动，题库涵盖计量器具检定、防作弊技巧等实用内容，设置“每日一答”“闯关抽奖”等环节，通过“答题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+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分享”模式吸引市民广泛参与，推动计量知识普及，让群众在互动中掌握维权方法。</w:t>
      </w:r>
    </w:p>
    <w:p w:rsidR="00807BA3" w:rsidRDefault="000226DB" w:rsidP="001B2F8D">
      <w:pPr>
        <w:spacing w:line="4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color w:val="000000" w:themeColor="text1"/>
          <w:sz w:val="32"/>
          <w:szCs w:val="32"/>
        </w:rPr>
        <w:t>二是深化线下宣传联动。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以海州区吾悦广场为主会场，联动</w:t>
      </w:r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个县区设分会场，开展“计量服务进万家”集中宣传。通过电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lastRenderedPageBreak/>
        <w:t>子计价秤防作弊演示等科普活动，发放宣传材料</w:t>
      </w:r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4000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余份；同步开展“计量知识进社区”，讲解电子秤防骗技巧常识，发放手册</w:t>
      </w:r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3000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余份，提升居民维权意识。</w:t>
      </w:r>
    </w:p>
    <w:p w:rsidR="00807BA3" w:rsidRDefault="000226DB" w:rsidP="001B2F8D">
      <w:pPr>
        <w:spacing w:line="4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color w:val="000000" w:themeColor="text1"/>
          <w:sz w:val="32"/>
          <w:szCs w:val="32"/>
        </w:rPr>
        <w:t>三是推动科普与监管融合。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举办“计量实验室开放日”，邀请人大代表、市民等参观水电气计量器具检测流程，增强公众信任；创新“点单式”检测模式，由群众指定抽检区域与对象，对不合格器具责令整改。通过“群众点单、部门检测”的共治模式，推动形成“部门主导、社会协同”计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量监管格局。</w:t>
      </w:r>
    </w:p>
    <w:p w:rsidR="00807BA3" w:rsidRDefault="000226DB" w:rsidP="001B2F8D">
      <w:pPr>
        <w:spacing w:line="4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下一步，我局将持续推进各项措施落实，强化监管机制落地见效，深化社会共治格局，引导消费者参与监督，提升群众消费安全感和市场公信力。</w:t>
      </w:r>
    </w:p>
    <w:p w:rsidR="00807BA3" w:rsidRDefault="000226DB" w:rsidP="001B2F8D">
      <w:pPr>
        <w:spacing w:line="4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bookmarkStart w:id="20" w:name="OLE_LINK37"/>
      <w:bookmarkStart w:id="21" w:name="OLE_LINK36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感谢您对市场监管工作的关心与支持！</w:t>
      </w:r>
      <w:bookmarkStart w:id="22" w:name="_GoBack"/>
      <w:bookmarkEnd w:id="22"/>
    </w:p>
    <w:p w:rsidR="00807BA3" w:rsidRDefault="00807BA3" w:rsidP="001B2F8D">
      <w:pPr>
        <w:spacing w:line="460" w:lineRule="exact"/>
        <w:ind w:firstLineChars="200" w:firstLine="640"/>
        <w:jc w:val="right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</w:pPr>
    </w:p>
    <w:p w:rsidR="001B2F8D" w:rsidRDefault="001B2F8D" w:rsidP="001B2F8D">
      <w:pPr>
        <w:spacing w:line="460" w:lineRule="exact"/>
        <w:ind w:firstLineChars="200" w:firstLine="640"/>
        <w:jc w:val="righ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807BA3" w:rsidRDefault="000226DB" w:rsidP="001B2F8D">
      <w:pPr>
        <w:spacing w:line="460" w:lineRule="exact"/>
        <w:jc w:val="righ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连云港市市场监督管理局</w:t>
      </w:r>
    </w:p>
    <w:p w:rsidR="00807BA3" w:rsidRDefault="000226DB" w:rsidP="001B2F8D">
      <w:pPr>
        <w:spacing w:line="460" w:lineRule="exact"/>
        <w:ind w:right="480"/>
        <w:jc w:val="right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2025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年</w:t>
      </w:r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月</w:t>
      </w:r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16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日</w:t>
      </w:r>
      <w:bookmarkEnd w:id="20"/>
      <w:bookmarkEnd w:id="21"/>
    </w:p>
    <w:p w:rsidR="00807BA3" w:rsidRDefault="00807BA3" w:rsidP="001B2F8D">
      <w:pPr>
        <w:spacing w:line="460" w:lineRule="exact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807BA3" w:rsidRDefault="00807BA3" w:rsidP="001B2F8D">
      <w:pPr>
        <w:spacing w:line="46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807BA3" w:rsidRDefault="000226DB" w:rsidP="001B2F8D">
      <w:pPr>
        <w:spacing w:line="46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联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系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人：</w:t>
      </w:r>
      <w:r>
        <w:rPr>
          <w:rFonts w:ascii="仿宋_GB2312" w:eastAsia="仿宋_GB2312" w:hAnsi="仿宋_GB2312" w:cs="仿宋_GB2312" w:hint="eastAsia"/>
          <w:sz w:val="32"/>
          <w:szCs w:val="32"/>
        </w:rPr>
        <w:t>张建伟</w:t>
      </w:r>
    </w:p>
    <w:p w:rsidR="00807BA3" w:rsidRDefault="000226DB" w:rsidP="001B2F8D">
      <w:pPr>
        <w:spacing w:line="4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联系电话：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18061393020</w:t>
      </w:r>
    </w:p>
    <w:sectPr w:rsidR="00807BA3" w:rsidSect="00807BA3">
      <w:footerReference w:type="default" r:id="rId7"/>
      <w:pgSz w:w="11906" w:h="16838"/>
      <w:pgMar w:top="1985" w:right="1474" w:bottom="1871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6DB" w:rsidRDefault="000226DB" w:rsidP="00807BA3">
      <w:r>
        <w:separator/>
      </w:r>
    </w:p>
  </w:endnote>
  <w:endnote w:type="continuationSeparator" w:id="1">
    <w:p w:rsidR="000226DB" w:rsidRDefault="000226DB" w:rsidP="00807B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2F6D5F06-0C9A-4FDF-9B76-1D9A2534A79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3BCE3C5C-8467-4F7F-A126-F92565182F9B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8651404C-67ED-4C9D-B35E-DFA223BE3749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C3B409F1-AB6C-450F-9D7A-B8DEB9348821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5" w:subsetted="1" w:fontKey="{9E3178EB-2104-41C4-BE45-CA5407F0E758}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BA3" w:rsidRDefault="00807BA3">
    <w:pPr>
      <w:pStyle w:val="a7"/>
      <w:jc w:val="center"/>
      <w:rPr>
        <w:sz w:val="28"/>
        <w:szCs w:val="28"/>
      </w:rPr>
    </w:pPr>
    <w:r w:rsidRPr="00807BA3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 filled="f" stroked="f" strokeweight=".5pt">
          <v:textbox style="mso-fit-shape-to-text:t" inset="0,0,0,0">
            <w:txbxContent>
              <w:p w:rsidR="00807BA3" w:rsidRDefault="000226DB">
                <w:pPr>
                  <w:pStyle w:val="a7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— </w:t>
                </w:r>
                <w:r w:rsidR="00807BA3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 w:rsidR="00807BA3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 w:rsidR="001B2F8D">
                  <w:rPr>
                    <w:rFonts w:ascii="Times New Roman" w:hAnsi="Times New Roman" w:cs="Times New Roman"/>
                    <w:noProof/>
                    <w:sz w:val="28"/>
                    <w:szCs w:val="28"/>
                  </w:rPr>
                  <w:t>3</w:t>
                </w:r>
                <w:r w:rsidR="00807BA3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  <w:sdt>
      <w:sdtPr>
        <w:rPr>
          <w:sz w:val="28"/>
          <w:szCs w:val="28"/>
        </w:rPr>
        <w:id w:val="1775518375"/>
      </w:sdtPr>
      <w:sdtContent/>
    </w:sdt>
  </w:p>
  <w:p w:rsidR="00807BA3" w:rsidRDefault="00807BA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6DB" w:rsidRDefault="000226DB" w:rsidP="00807BA3">
      <w:r>
        <w:separator/>
      </w:r>
    </w:p>
  </w:footnote>
  <w:footnote w:type="continuationSeparator" w:id="1">
    <w:p w:rsidR="000226DB" w:rsidRDefault="000226DB" w:rsidP="00807B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TrueTypeFonts/>
  <w:saveSubsetFont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5122" fillcolor="white">
      <v:fill color="white"/>
    </o: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DIyMjMyYTk3ZWJmMWZjYzVjMGM0NjJhMzAzMzBhYTkifQ=="/>
  </w:docVars>
  <w:rsids>
    <w:rsidRoot w:val="00827411"/>
    <w:rsid w:val="00002AB6"/>
    <w:rsid w:val="000226DB"/>
    <w:rsid w:val="000229DE"/>
    <w:rsid w:val="00034DE6"/>
    <w:rsid w:val="00037FB2"/>
    <w:rsid w:val="00072C75"/>
    <w:rsid w:val="000747B0"/>
    <w:rsid w:val="00083C5E"/>
    <w:rsid w:val="000D2083"/>
    <w:rsid w:val="000F143D"/>
    <w:rsid w:val="00155835"/>
    <w:rsid w:val="001761B3"/>
    <w:rsid w:val="001A184C"/>
    <w:rsid w:val="001A1ED6"/>
    <w:rsid w:val="001B2F8D"/>
    <w:rsid w:val="002345FF"/>
    <w:rsid w:val="00242719"/>
    <w:rsid w:val="00265F12"/>
    <w:rsid w:val="0028758D"/>
    <w:rsid w:val="002D10E6"/>
    <w:rsid w:val="0030451F"/>
    <w:rsid w:val="003206C3"/>
    <w:rsid w:val="00347B26"/>
    <w:rsid w:val="00392D5F"/>
    <w:rsid w:val="003A2130"/>
    <w:rsid w:val="00446C85"/>
    <w:rsid w:val="00487E7D"/>
    <w:rsid w:val="004B5A85"/>
    <w:rsid w:val="004B5D73"/>
    <w:rsid w:val="00504CF3"/>
    <w:rsid w:val="00596936"/>
    <w:rsid w:val="005A612F"/>
    <w:rsid w:val="005F3C6B"/>
    <w:rsid w:val="00610EBD"/>
    <w:rsid w:val="00625DE8"/>
    <w:rsid w:val="006449D7"/>
    <w:rsid w:val="006548CC"/>
    <w:rsid w:val="0066259A"/>
    <w:rsid w:val="006B41FC"/>
    <w:rsid w:val="006C107C"/>
    <w:rsid w:val="006D4DBD"/>
    <w:rsid w:val="0073044F"/>
    <w:rsid w:val="00760C5C"/>
    <w:rsid w:val="007846DA"/>
    <w:rsid w:val="00807BA3"/>
    <w:rsid w:val="00827411"/>
    <w:rsid w:val="00827415"/>
    <w:rsid w:val="0085342F"/>
    <w:rsid w:val="00877016"/>
    <w:rsid w:val="00881D51"/>
    <w:rsid w:val="008878D6"/>
    <w:rsid w:val="008C115E"/>
    <w:rsid w:val="009162EB"/>
    <w:rsid w:val="00931FF4"/>
    <w:rsid w:val="00950958"/>
    <w:rsid w:val="0097073D"/>
    <w:rsid w:val="009C0ED9"/>
    <w:rsid w:val="009C595B"/>
    <w:rsid w:val="009D16B9"/>
    <w:rsid w:val="009D254A"/>
    <w:rsid w:val="009D6FD2"/>
    <w:rsid w:val="009E797B"/>
    <w:rsid w:val="00A16E2C"/>
    <w:rsid w:val="00A32DD8"/>
    <w:rsid w:val="00A43A3C"/>
    <w:rsid w:val="00A44116"/>
    <w:rsid w:val="00B21762"/>
    <w:rsid w:val="00B5605D"/>
    <w:rsid w:val="00B66120"/>
    <w:rsid w:val="00BA70AA"/>
    <w:rsid w:val="00BF1948"/>
    <w:rsid w:val="00BF666A"/>
    <w:rsid w:val="00C0725B"/>
    <w:rsid w:val="00C10E2F"/>
    <w:rsid w:val="00C12D53"/>
    <w:rsid w:val="00C138C4"/>
    <w:rsid w:val="00C13C99"/>
    <w:rsid w:val="00C4020B"/>
    <w:rsid w:val="00C74971"/>
    <w:rsid w:val="00CF4EC6"/>
    <w:rsid w:val="00CF6A0C"/>
    <w:rsid w:val="00D534FA"/>
    <w:rsid w:val="00D77A45"/>
    <w:rsid w:val="00D80DE5"/>
    <w:rsid w:val="00DA6CD6"/>
    <w:rsid w:val="00DD43D7"/>
    <w:rsid w:val="00DF38CF"/>
    <w:rsid w:val="00E17700"/>
    <w:rsid w:val="00E95986"/>
    <w:rsid w:val="00EB0451"/>
    <w:rsid w:val="00EB37AF"/>
    <w:rsid w:val="00EC0A8B"/>
    <w:rsid w:val="00EC4635"/>
    <w:rsid w:val="00ED2975"/>
    <w:rsid w:val="00F0361B"/>
    <w:rsid w:val="00F3048F"/>
    <w:rsid w:val="00F62A28"/>
    <w:rsid w:val="00F821FB"/>
    <w:rsid w:val="00F93B9A"/>
    <w:rsid w:val="00FC225C"/>
    <w:rsid w:val="00FE22DB"/>
    <w:rsid w:val="0D812B69"/>
    <w:rsid w:val="113B1490"/>
    <w:rsid w:val="16347E4F"/>
    <w:rsid w:val="1DEE0CA9"/>
    <w:rsid w:val="209B3D66"/>
    <w:rsid w:val="2214688B"/>
    <w:rsid w:val="25D433CD"/>
    <w:rsid w:val="2A520B9A"/>
    <w:rsid w:val="2A9245AE"/>
    <w:rsid w:val="2B625CCE"/>
    <w:rsid w:val="2BDC5041"/>
    <w:rsid w:val="2CA52D4B"/>
    <w:rsid w:val="2DBF432F"/>
    <w:rsid w:val="2DD7148A"/>
    <w:rsid w:val="2EAC37A0"/>
    <w:rsid w:val="3110750F"/>
    <w:rsid w:val="37280CE0"/>
    <w:rsid w:val="3A127BD2"/>
    <w:rsid w:val="3D2832C7"/>
    <w:rsid w:val="3E462E6E"/>
    <w:rsid w:val="3ED44393"/>
    <w:rsid w:val="3FEF0672"/>
    <w:rsid w:val="45F45F7D"/>
    <w:rsid w:val="45FC3C92"/>
    <w:rsid w:val="495B3476"/>
    <w:rsid w:val="4B642CC3"/>
    <w:rsid w:val="52977163"/>
    <w:rsid w:val="578F7356"/>
    <w:rsid w:val="59FB381C"/>
    <w:rsid w:val="5AC27BC1"/>
    <w:rsid w:val="5BA95BF3"/>
    <w:rsid w:val="5D5766B6"/>
    <w:rsid w:val="5FC01197"/>
    <w:rsid w:val="64B82DC0"/>
    <w:rsid w:val="65C86549"/>
    <w:rsid w:val="6722119D"/>
    <w:rsid w:val="6B0B6A4F"/>
    <w:rsid w:val="6E01311F"/>
    <w:rsid w:val="6F276355"/>
    <w:rsid w:val="7319454A"/>
    <w:rsid w:val="76FA7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,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807BA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rsid w:val="00807BA3"/>
    <w:pPr>
      <w:jc w:val="left"/>
    </w:pPr>
  </w:style>
  <w:style w:type="paragraph" w:styleId="a4">
    <w:name w:val="Body Text"/>
    <w:basedOn w:val="a"/>
    <w:next w:val="a"/>
    <w:qFormat/>
    <w:rsid w:val="00807BA3"/>
    <w:pPr>
      <w:spacing w:after="120"/>
    </w:pPr>
  </w:style>
  <w:style w:type="paragraph" w:styleId="a5">
    <w:name w:val="Date"/>
    <w:basedOn w:val="a"/>
    <w:next w:val="a"/>
    <w:link w:val="Char0"/>
    <w:uiPriority w:val="99"/>
    <w:semiHidden/>
    <w:unhideWhenUsed/>
    <w:qFormat/>
    <w:rsid w:val="00807BA3"/>
    <w:pPr>
      <w:ind w:leftChars="2500" w:left="100"/>
    </w:pPr>
  </w:style>
  <w:style w:type="paragraph" w:styleId="a6">
    <w:name w:val="Balloon Text"/>
    <w:basedOn w:val="a"/>
    <w:link w:val="Char1"/>
    <w:uiPriority w:val="99"/>
    <w:semiHidden/>
    <w:unhideWhenUsed/>
    <w:qFormat/>
    <w:rsid w:val="00807BA3"/>
    <w:rPr>
      <w:sz w:val="18"/>
      <w:szCs w:val="18"/>
    </w:rPr>
  </w:style>
  <w:style w:type="paragraph" w:styleId="a7">
    <w:name w:val="footer"/>
    <w:basedOn w:val="a"/>
    <w:link w:val="Char2"/>
    <w:autoRedefine/>
    <w:uiPriority w:val="99"/>
    <w:unhideWhenUsed/>
    <w:qFormat/>
    <w:rsid w:val="00807B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autoRedefine/>
    <w:uiPriority w:val="99"/>
    <w:unhideWhenUsed/>
    <w:qFormat/>
    <w:rsid w:val="00807B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rsid w:val="00807B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Title"/>
    <w:basedOn w:val="a"/>
    <w:next w:val="BodyTextIndent1"/>
    <w:qFormat/>
    <w:rsid w:val="00807BA3"/>
    <w:pPr>
      <w:spacing w:before="240" w:after="60"/>
      <w:jc w:val="center"/>
      <w:outlineLvl w:val="0"/>
    </w:pPr>
    <w:rPr>
      <w:rFonts w:ascii="Arial" w:eastAsia="仿宋" w:hAnsi="Arial" w:cs="Times New Roman"/>
      <w:b/>
      <w:sz w:val="32"/>
      <w:szCs w:val="32"/>
    </w:rPr>
  </w:style>
  <w:style w:type="paragraph" w:customStyle="1" w:styleId="BodyTextIndent1">
    <w:name w:val="Body Text Indent1"/>
    <w:basedOn w:val="a"/>
    <w:uiPriority w:val="99"/>
    <w:qFormat/>
    <w:rsid w:val="00807BA3"/>
    <w:pPr>
      <w:spacing w:after="120"/>
      <w:ind w:leftChars="200" w:left="420"/>
    </w:pPr>
  </w:style>
  <w:style w:type="paragraph" w:styleId="ab">
    <w:name w:val="annotation subject"/>
    <w:basedOn w:val="a3"/>
    <w:next w:val="a3"/>
    <w:link w:val="Char4"/>
    <w:uiPriority w:val="99"/>
    <w:semiHidden/>
    <w:unhideWhenUsed/>
    <w:qFormat/>
    <w:rsid w:val="00807BA3"/>
    <w:rPr>
      <w:b/>
      <w:bCs/>
    </w:rPr>
  </w:style>
  <w:style w:type="table" w:styleId="ac">
    <w:name w:val="Table Grid"/>
    <w:basedOn w:val="a1"/>
    <w:autoRedefine/>
    <w:uiPriority w:val="39"/>
    <w:qFormat/>
    <w:rsid w:val="00807B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qFormat/>
    <w:rsid w:val="00807BA3"/>
  </w:style>
  <w:style w:type="character" w:styleId="ae">
    <w:name w:val="Hyperlink"/>
    <w:basedOn w:val="a0"/>
    <w:uiPriority w:val="99"/>
    <w:semiHidden/>
    <w:unhideWhenUsed/>
    <w:qFormat/>
    <w:rsid w:val="00807BA3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qFormat/>
    <w:rsid w:val="00807BA3"/>
    <w:rPr>
      <w:sz w:val="21"/>
      <w:szCs w:val="21"/>
    </w:rPr>
  </w:style>
  <w:style w:type="paragraph" w:styleId="af0">
    <w:name w:val="List Paragraph"/>
    <w:basedOn w:val="a"/>
    <w:autoRedefine/>
    <w:uiPriority w:val="34"/>
    <w:qFormat/>
    <w:rsid w:val="00807BA3"/>
    <w:pPr>
      <w:ind w:firstLineChars="200" w:firstLine="420"/>
    </w:pPr>
  </w:style>
  <w:style w:type="character" w:customStyle="1" w:styleId="Char3">
    <w:name w:val="页眉 Char"/>
    <w:basedOn w:val="a0"/>
    <w:link w:val="a8"/>
    <w:autoRedefine/>
    <w:uiPriority w:val="99"/>
    <w:qFormat/>
    <w:rsid w:val="00807BA3"/>
    <w:rPr>
      <w:sz w:val="18"/>
      <w:szCs w:val="18"/>
    </w:rPr>
  </w:style>
  <w:style w:type="character" w:customStyle="1" w:styleId="Char2">
    <w:name w:val="页脚 Char"/>
    <w:basedOn w:val="a0"/>
    <w:link w:val="a7"/>
    <w:autoRedefine/>
    <w:uiPriority w:val="99"/>
    <w:qFormat/>
    <w:rsid w:val="00807BA3"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sid w:val="00807BA3"/>
  </w:style>
  <w:style w:type="character" w:customStyle="1" w:styleId="Char4">
    <w:name w:val="批注主题 Char"/>
    <w:basedOn w:val="Char"/>
    <w:link w:val="ab"/>
    <w:uiPriority w:val="99"/>
    <w:semiHidden/>
    <w:qFormat/>
    <w:rsid w:val="00807BA3"/>
    <w:rPr>
      <w:b/>
      <w:bCs/>
    </w:rPr>
  </w:style>
  <w:style w:type="character" w:customStyle="1" w:styleId="Char1">
    <w:name w:val="批注框文本 Char"/>
    <w:basedOn w:val="a0"/>
    <w:link w:val="a6"/>
    <w:uiPriority w:val="99"/>
    <w:semiHidden/>
    <w:qFormat/>
    <w:rsid w:val="00807BA3"/>
    <w:rPr>
      <w:sz w:val="18"/>
      <w:szCs w:val="18"/>
    </w:rPr>
  </w:style>
  <w:style w:type="character" w:customStyle="1" w:styleId="Char0">
    <w:name w:val="日期 Char"/>
    <w:basedOn w:val="a0"/>
    <w:link w:val="a5"/>
    <w:uiPriority w:val="99"/>
    <w:semiHidden/>
    <w:qFormat/>
    <w:rsid w:val="00807BA3"/>
  </w:style>
  <w:style w:type="character" w:customStyle="1" w:styleId="font11">
    <w:name w:val="font11"/>
    <w:basedOn w:val="a0"/>
    <w:qFormat/>
    <w:rsid w:val="00807BA3"/>
    <w:rPr>
      <w:rFonts w:ascii="宋体" w:eastAsia="宋体" w:hAnsi="宋体" w:cs="宋体" w:hint="eastAsia"/>
      <w:color w:val="FF0000"/>
      <w:sz w:val="22"/>
      <w:szCs w:val="22"/>
      <w:u w:val="none"/>
    </w:rPr>
  </w:style>
  <w:style w:type="paragraph" w:customStyle="1" w:styleId="1">
    <w:name w:val="正文1"/>
    <w:qFormat/>
    <w:rsid w:val="00807BA3"/>
    <w:pPr>
      <w:jc w:val="both"/>
    </w:pPr>
    <w:rPr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247</Words>
  <Characters>1413</Characters>
  <Application>Microsoft Office Word</Application>
  <DocSecurity>0</DocSecurity>
  <Lines>11</Lines>
  <Paragraphs>3</Paragraphs>
  <ScaleCrop>false</ScaleCrop>
  <Company>Microsoft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924415957@qq.com</dc:creator>
  <cp:lastModifiedBy>PC</cp:lastModifiedBy>
  <cp:revision>39</cp:revision>
  <cp:lastPrinted>2021-05-11T03:04:00Z</cp:lastPrinted>
  <dcterms:created xsi:type="dcterms:W3CDTF">2020-04-22T00:55:00Z</dcterms:created>
  <dcterms:modified xsi:type="dcterms:W3CDTF">2026-08-19T08:55:00Z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8B529614F8A04BCB8CB1429FEB99B6FA_13</vt:lpwstr>
  </property>
  <property fmtid="{D5CDD505-2E9C-101B-9397-08002B2CF9AE}" pid="4" name="KSOTemplateDocerSaveRecord">
    <vt:lpwstr>eyJoZGlkIjoiNDIyMjMyYTk3ZWJmMWZjYzVjMGM0NjJhMzAzMzBhYTkiLCJ1c2VySWQiOiI0NDg2OTc1MDIifQ==</vt:lpwstr>
  </property>
</Properties>
</file>