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0412A">
      <w:pPr>
        <w:autoSpaceDE/>
        <w:autoSpaceDN/>
        <w:snapToGrid w:val="0"/>
        <w:spacing w:line="600" w:lineRule="exact"/>
        <w:jc w:val="center"/>
        <w:rPr>
          <w:rFonts w:ascii="方正小标宋_GBK" w:hAnsi="方正小标宋_GBK" w:eastAsia="方正小标宋_GBK" w:cs="方正小标宋_GBK"/>
          <w:kern w:val="2"/>
          <w:sz w:val="44"/>
          <w:szCs w:val="44"/>
          <w:lang w:val="en-US" w:bidi="ar-SA"/>
        </w:rPr>
      </w:pPr>
      <w:r>
        <w:rPr>
          <w:rFonts w:hint="eastAsia" w:ascii="Times New Roman" w:hAnsi="Times New Roman" w:eastAsia="方正小标宋_GBK" w:cs="方正小标宋_GBK"/>
          <w:color w:val="000000"/>
          <w:kern w:val="2"/>
          <w:sz w:val="44"/>
          <w:szCs w:val="44"/>
          <w:lang w:bidi="ar-SA"/>
        </w:rPr>
        <w:t>202</w:t>
      </w:r>
      <w:r>
        <w:rPr>
          <w:rFonts w:ascii="Times New Roman" w:hAnsi="Times New Roman" w:eastAsia="方正小标宋_GBK" w:cs="方正小标宋_GBK"/>
          <w:color w:val="000000"/>
          <w:kern w:val="2"/>
          <w:sz w:val="44"/>
          <w:szCs w:val="44"/>
          <w:lang w:val="en-US" w:bidi="ar-SA"/>
        </w:rPr>
        <w:t>6</w:t>
      </w:r>
      <w:r>
        <w:rPr>
          <w:rFonts w:hint="eastAsia" w:ascii="Times New Roman" w:hAnsi="Times New Roman" w:eastAsia="方正小标宋_GBK" w:cs="方正小标宋_GBK"/>
          <w:color w:val="000000"/>
          <w:kern w:val="2"/>
          <w:sz w:val="44"/>
          <w:szCs w:val="44"/>
          <w:lang w:val="en-US" w:bidi="ar-SA"/>
        </w:rPr>
        <w:t>年连云港市雨刮器</w:t>
      </w:r>
      <w:r>
        <w:rPr>
          <w:rFonts w:hint="eastAsia" w:ascii="Times New Roman" w:hAnsi="Times New Roman" w:eastAsia="方正小标宋_GBK" w:cs="方正小标宋_GBK"/>
          <w:color w:val="000000"/>
          <w:kern w:val="2"/>
          <w:sz w:val="44"/>
          <w:szCs w:val="44"/>
          <w:lang w:val="en-US" w:bidi="ar-SA"/>
        </w:rPr>
        <w:br w:type="textWrapping"/>
      </w:r>
      <w:r>
        <w:rPr>
          <w:rFonts w:hint="eastAsia" w:ascii="Times New Roman" w:hAnsi="Times New Roman" w:eastAsia="方正小标宋_GBK" w:cs="方正小标宋_GBK"/>
          <w:color w:val="000000"/>
          <w:kern w:val="2"/>
          <w:sz w:val="44"/>
          <w:szCs w:val="44"/>
          <w:lang w:val="en-US" w:bidi="ar-SA"/>
        </w:rPr>
        <w:t>产品质量监督抽查实施细则</w:t>
      </w:r>
    </w:p>
    <w:p w14:paraId="2F16980D">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1.范围</w:t>
      </w:r>
    </w:p>
    <w:p w14:paraId="5B6FF087">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本细则适用于连云港市市场监督管理局组织的雨刮器产品质量监督抽查。本细则规定了此产品的抽样方法、检验依据、检验项目、检验方法、判定原则、异议处理及复检。</w:t>
      </w:r>
    </w:p>
    <w:p w14:paraId="5C584925">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2.抽样方法</w:t>
      </w:r>
    </w:p>
    <w:p w14:paraId="06817733">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生产企业、实体店抽样</w:t>
      </w:r>
    </w:p>
    <w:p w14:paraId="5F6A2EEC">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ascii="Times New Roman" w:hAnsi="Times New Roman" w:eastAsia="方正仿宋_GBK" w:cs="方正仿宋_GBK"/>
          <w:sz w:val="32"/>
          <w:szCs w:val="32"/>
        </w:rPr>
        <w:t>在</w:t>
      </w:r>
      <w:r>
        <w:rPr>
          <w:rFonts w:hint="eastAsia" w:ascii="Times New Roman" w:hAnsi="Times New Roman" w:eastAsia="方正仿宋_GBK" w:cs="方正仿宋_GBK"/>
          <w:sz w:val="32"/>
          <w:szCs w:val="32"/>
        </w:rPr>
        <w:t>受检</w:t>
      </w:r>
      <w:r>
        <w:rPr>
          <w:rFonts w:ascii="Times New Roman" w:hAnsi="Times New Roman" w:eastAsia="方正仿宋_GBK" w:cs="方正仿宋_GBK"/>
          <w:sz w:val="32"/>
          <w:szCs w:val="32"/>
        </w:rPr>
        <w:t>企业的成品</w:t>
      </w:r>
      <w:r>
        <w:rPr>
          <w:rFonts w:hint="eastAsia" w:ascii="Times New Roman" w:hAnsi="Times New Roman" w:eastAsia="方正仿宋_GBK" w:cs="方正仿宋_GBK"/>
          <w:sz w:val="32"/>
          <w:szCs w:val="32"/>
        </w:rPr>
        <w:t>仓库或者其确认场所，</w:t>
      </w:r>
      <w:r>
        <w:rPr>
          <w:rFonts w:ascii="Times New Roman" w:hAnsi="Times New Roman" w:eastAsia="方正仿宋_GBK" w:cs="方正仿宋_GBK"/>
          <w:sz w:val="32"/>
          <w:szCs w:val="32"/>
        </w:rPr>
        <w:t>随机抽取有产品质量检验合格证明或者其他形式表明合格的</w:t>
      </w:r>
      <w:r>
        <w:rPr>
          <w:rFonts w:hint="eastAsia" w:ascii="Times New Roman" w:hAnsi="Times New Roman" w:eastAsia="方正仿宋_GBK" w:cs="方正仿宋_GBK"/>
          <w:sz w:val="32"/>
          <w:szCs w:val="32"/>
        </w:rPr>
        <w:t>待销</w:t>
      </w:r>
      <w:r>
        <w:rPr>
          <w:rFonts w:ascii="Times New Roman" w:hAnsi="Times New Roman" w:eastAsia="方正仿宋_GBK" w:cs="方正仿宋_GBK"/>
          <w:sz w:val="32"/>
          <w:szCs w:val="32"/>
        </w:rPr>
        <w:t>产品</w:t>
      </w:r>
      <w:r>
        <w:rPr>
          <w:rFonts w:hint="eastAsia" w:ascii="Times New Roman" w:hAnsi="Times New Roman" w:eastAsia="方正仿宋_GBK" w:cs="方正仿宋_GBK"/>
          <w:sz w:val="32"/>
          <w:szCs w:val="32"/>
        </w:rPr>
        <w:t>，付费</w:t>
      </w:r>
      <w:r>
        <w:rPr>
          <w:rFonts w:ascii="Times New Roman" w:hAnsi="Times New Roman" w:eastAsia="方正仿宋_GBK" w:cs="方正仿宋_GBK"/>
          <w:sz w:val="32"/>
          <w:szCs w:val="32"/>
        </w:rPr>
        <w:t>购买</w:t>
      </w:r>
      <w:r>
        <w:rPr>
          <w:rFonts w:hint="eastAsia" w:ascii="Times New Roman" w:hAnsi="Times New Roman" w:eastAsia="方正仿宋_GBK" w:cs="方正仿宋_GBK"/>
          <w:sz w:val="32"/>
          <w:szCs w:val="32"/>
        </w:rPr>
        <w:t>检验</w:t>
      </w:r>
      <w:r>
        <w:rPr>
          <w:rFonts w:ascii="Times New Roman" w:hAnsi="Times New Roman" w:eastAsia="方正仿宋_GBK" w:cs="方正仿宋_GBK"/>
          <w:sz w:val="32"/>
          <w:szCs w:val="32"/>
        </w:rPr>
        <w:t>样品</w:t>
      </w:r>
      <w:r>
        <w:rPr>
          <w:rFonts w:hint="eastAsia" w:ascii="Times New Roman" w:hAnsi="Times New Roman" w:eastAsia="方正仿宋_GBK" w:cs="方正仿宋_GBK"/>
          <w:sz w:val="32"/>
          <w:szCs w:val="32"/>
        </w:rPr>
        <w:t>，</w:t>
      </w:r>
      <w:r>
        <w:rPr>
          <w:rFonts w:ascii="Times New Roman" w:hAnsi="Times New Roman" w:eastAsia="方正仿宋_GBK" w:cs="方正仿宋_GBK"/>
          <w:sz w:val="32"/>
          <w:szCs w:val="32"/>
        </w:rPr>
        <w:t>并</w:t>
      </w:r>
      <w:r>
        <w:rPr>
          <w:rFonts w:hint="eastAsia" w:ascii="Times New Roman" w:hAnsi="Times New Roman" w:eastAsia="方正仿宋_GBK" w:cs="方正仿宋_GBK"/>
          <w:sz w:val="32"/>
          <w:szCs w:val="32"/>
        </w:rPr>
        <w:t>索取发票等购样凭据留证。雨刮器产品</w:t>
      </w:r>
      <w:r>
        <w:rPr>
          <w:rFonts w:hint="eastAsia" w:ascii="Times New Roman" w:hAnsi="Times New Roman" w:eastAsia="方正仿宋_GBK" w:cs="方正仿宋_GBK"/>
          <w:kern w:val="2"/>
          <w:sz w:val="32"/>
          <w:szCs w:val="32"/>
          <w:lang w:val="en-US" w:bidi="ar-SA"/>
        </w:rPr>
        <w:t>抽样数量为4个，其中2个为检验样品，2个为备用样品</w:t>
      </w:r>
      <w:r>
        <w:rPr>
          <w:rFonts w:hint="eastAsia" w:ascii="Times New Roman" w:hAnsi="Times New Roman" w:eastAsia="方正仿宋_GBK" w:cs="方正仿宋_GBK"/>
          <w:sz w:val="32"/>
          <w:szCs w:val="32"/>
        </w:rPr>
        <w:t>，</w:t>
      </w:r>
      <w:r>
        <w:rPr>
          <w:rFonts w:ascii="Times New Roman" w:hAnsi="Times New Roman" w:eastAsia="方正仿宋_GBK" w:cs="方正仿宋_GBK"/>
          <w:sz w:val="32"/>
          <w:szCs w:val="32"/>
        </w:rPr>
        <w:t>抽</w:t>
      </w:r>
      <w:r>
        <w:rPr>
          <w:rFonts w:hint="eastAsia" w:ascii="Times New Roman" w:hAnsi="Times New Roman" w:eastAsia="方正仿宋_GBK" w:cs="方正仿宋_GBK"/>
          <w:sz w:val="32"/>
          <w:szCs w:val="32"/>
        </w:rPr>
        <w:t>样基数应满足抽样要求。</w:t>
      </w:r>
    </w:p>
    <w:p w14:paraId="55A27AF0">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一经抽样，立即封样，任何人不得调换。采样过程均需拍照留证。</w:t>
      </w:r>
    </w:p>
    <w:p w14:paraId="7300CCEF">
      <w:pPr>
        <w:autoSpaceDE/>
        <w:autoSpaceDN/>
        <w:spacing w:line="600" w:lineRule="exact"/>
        <w:ind w:firstLineChars="200"/>
        <w:jc w:val="both"/>
        <w:rPr>
          <w:rFonts w:ascii="方正仿宋_GBK" w:hAnsi="方正仿宋_GBK" w:eastAsia="方正仿宋_GBK" w:cs="方正仿宋_GBK"/>
          <w:sz w:val="32"/>
          <w:szCs w:val="32"/>
        </w:rPr>
      </w:pPr>
      <w:r>
        <w:rPr>
          <w:rFonts w:hint="eastAsia" w:ascii="Times New Roman" w:hAnsi="Times New Roman" w:eastAsia="方正仿宋_GBK" w:cs="方正仿宋_GBK"/>
          <w:sz w:val="32"/>
          <w:szCs w:val="32"/>
        </w:rPr>
        <w:t>所抽取产品的保质期应能充分满足检验工作的进行。检验样品和备用样品分开封样，被抽查样品应有防拆护措施，可以采用外包装箱装好封样。运输时应防挤压、防暴晒、防雨淋、防潮湿、防破损、防污染。不得与油及酸、碱等腐蚀性的物质放在一起进行运输。</w:t>
      </w:r>
    </w:p>
    <w:p w14:paraId="2AB3066B">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3.检验依据</w:t>
      </w:r>
    </w:p>
    <w:p w14:paraId="6FFB2EF5">
      <w:pPr>
        <w:autoSpaceDE/>
        <w:autoSpaceDN/>
        <w:spacing w:line="600" w:lineRule="exact"/>
        <w:ind w:firstLine="643" w:firstLineChars="200"/>
        <w:jc w:val="center"/>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b/>
          <w:kern w:val="2"/>
          <w:sz w:val="32"/>
          <w:szCs w:val="32"/>
          <w:lang w:val="en-US" w:bidi="ar-SA"/>
        </w:rPr>
        <w:t>表1</w:t>
      </w:r>
      <w:r>
        <w:rPr>
          <w:rFonts w:hint="eastAsia" w:ascii="Times New Roman" w:hAnsi="Times New Roman" w:eastAsia="方正仿宋_GBK" w:cs="方正仿宋_GBK"/>
          <w:b/>
          <w:kern w:val="2"/>
          <w:sz w:val="32"/>
          <w:szCs w:val="32"/>
          <w:lang w:val="en-US" w:bidi="ar-SA"/>
        </w:rPr>
        <w:tab/>
      </w:r>
      <w:r>
        <w:rPr>
          <w:rFonts w:hint="eastAsia" w:ascii="Times New Roman" w:hAnsi="Times New Roman" w:eastAsia="方正仿宋_GBK" w:cs="方正仿宋_GBK"/>
          <w:b/>
          <w:sz w:val="32"/>
          <w:szCs w:val="32"/>
        </w:rPr>
        <w:t>雨刮器</w:t>
      </w:r>
      <w:r>
        <w:rPr>
          <w:rFonts w:hint="eastAsia" w:ascii="Times New Roman" w:hAnsi="Times New Roman" w:eastAsia="方正仿宋_GBK" w:cs="方正仿宋_GBK"/>
          <w:b/>
          <w:kern w:val="2"/>
          <w:sz w:val="32"/>
          <w:szCs w:val="32"/>
          <w:lang w:val="en-US" w:bidi="ar-SA"/>
        </w:rPr>
        <w:t>产品检验项目</w:t>
      </w:r>
    </w:p>
    <w:tbl>
      <w:tblPr>
        <w:tblStyle w:val="10"/>
        <w:tblW w:w="956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3247"/>
        <w:gridCol w:w="2616"/>
        <w:gridCol w:w="2804"/>
      </w:tblGrid>
      <w:tr w14:paraId="5895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99" w:type="dxa"/>
            <w:vAlign w:val="center"/>
          </w:tcPr>
          <w:p w14:paraId="1924E232">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序号</w:t>
            </w:r>
          </w:p>
        </w:tc>
        <w:tc>
          <w:tcPr>
            <w:tcW w:w="3247" w:type="dxa"/>
            <w:vAlign w:val="center"/>
          </w:tcPr>
          <w:p w14:paraId="10F57266">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检验项目</w:t>
            </w:r>
          </w:p>
        </w:tc>
        <w:tc>
          <w:tcPr>
            <w:tcW w:w="2616" w:type="dxa"/>
            <w:vAlign w:val="center"/>
          </w:tcPr>
          <w:p w14:paraId="6A4F1121">
            <w:pPr>
              <w:snapToGrid w:val="0"/>
              <w:spacing w:line="300" w:lineRule="exact"/>
              <w:jc w:val="center"/>
              <w:rPr>
                <w:rFonts w:ascii="方正仿宋_GBK" w:hAnsi="方正仿宋_GBK" w:eastAsia="方正仿宋_GBK" w:cs="方正仿宋_GBK"/>
                <w:color w:val="000000"/>
                <w:sz w:val="32"/>
                <w:szCs w:val="32"/>
                <w:lang w:val="en-US"/>
              </w:rPr>
            </w:pPr>
            <w:r>
              <w:rPr>
                <w:rFonts w:hint="eastAsia" w:ascii="Times New Roman" w:hAnsi="Times New Roman" w:eastAsia="方正仿宋_GBK" w:cs="方正仿宋_GBK"/>
                <w:b/>
                <w:color w:val="000000"/>
                <w:sz w:val="32"/>
                <w:szCs w:val="32"/>
                <w:lang w:val="en-US"/>
              </w:rPr>
              <w:t>检测依据</w:t>
            </w:r>
          </w:p>
        </w:tc>
        <w:tc>
          <w:tcPr>
            <w:tcW w:w="2804" w:type="dxa"/>
            <w:vAlign w:val="center"/>
          </w:tcPr>
          <w:p w14:paraId="28DFE813">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b/>
                <w:color w:val="000000"/>
                <w:sz w:val="32"/>
                <w:szCs w:val="32"/>
              </w:rPr>
              <w:t>检验方法</w:t>
            </w:r>
          </w:p>
        </w:tc>
      </w:tr>
      <w:tr w14:paraId="3CF8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99" w:type="dxa"/>
            <w:vAlign w:val="center"/>
          </w:tcPr>
          <w:p w14:paraId="5C3B1509">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1</w:t>
            </w:r>
          </w:p>
        </w:tc>
        <w:tc>
          <w:tcPr>
            <w:tcW w:w="3247" w:type="dxa"/>
            <w:vAlign w:val="center"/>
          </w:tcPr>
          <w:p w14:paraId="6BD33D51">
            <w:pPr>
              <w:snapToGrid w:val="0"/>
              <w:spacing w:line="300" w:lineRule="exact"/>
              <w:jc w:val="center"/>
              <w:rPr>
                <w:rFonts w:ascii="仿宋" w:hAnsi="仿宋" w:eastAsia="仿宋" w:cs="方正仿宋_GBK"/>
                <w:color w:val="000000"/>
                <w:sz w:val="32"/>
                <w:szCs w:val="32"/>
              </w:rPr>
            </w:pPr>
            <w:r>
              <w:rPr>
                <w:rFonts w:hint="eastAsia" w:ascii="Times New Roman" w:hAnsi="Times New Roman" w:eastAsia="方正仿宋_GBK" w:cs="方正仿宋_GBK"/>
                <w:color w:val="000000"/>
                <w:sz w:val="32"/>
                <w:szCs w:val="32"/>
              </w:rPr>
              <w:t>耐腐蚀试验</w:t>
            </w:r>
          </w:p>
        </w:tc>
        <w:tc>
          <w:tcPr>
            <w:tcW w:w="2616" w:type="dxa"/>
            <w:vMerge w:val="restart"/>
            <w:vAlign w:val="center"/>
          </w:tcPr>
          <w:p w14:paraId="1CFE8737">
            <w:pPr>
              <w:snapToGrid w:val="0"/>
              <w:spacing w:line="300" w:lineRule="exact"/>
              <w:jc w:val="center"/>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QC/T 44-2009《汽车风窗玻璃电动刮水器》</w:t>
            </w:r>
          </w:p>
        </w:tc>
        <w:tc>
          <w:tcPr>
            <w:tcW w:w="2804" w:type="dxa"/>
            <w:vAlign w:val="center"/>
          </w:tcPr>
          <w:p w14:paraId="36262114">
            <w:pPr>
              <w:snapToGrid w:val="0"/>
              <w:spacing w:line="300" w:lineRule="exact"/>
              <w:jc w:val="center"/>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QC/T 44-2009</w:t>
            </w:r>
          </w:p>
        </w:tc>
      </w:tr>
      <w:tr w14:paraId="5197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99" w:type="dxa"/>
            <w:vAlign w:val="center"/>
          </w:tcPr>
          <w:p w14:paraId="028C1763">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2</w:t>
            </w:r>
          </w:p>
        </w:tc>
        <w:tc>
          <w:tcPr>
            <w:tcW w:w="3247" w:type="dxa"/>
            <w:vAlign w:val="center"/>
          </w:tcPr>
          <w:p w14:paraId="6371C656">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低温试验</w:t>
            </w:r>
          </w:p>
        </w:tc>
        <w:tc>
          <w:tcPr>
            <w:tcW w:w="2616" w:type="dxa"/>
            <w:vMerge w:val="continue"/>
            <w:tcBorders/>
            <w:vAlign w:val="center"/>
          </w:tcPr>
          <w:p w14:paraId="74D6A7E2">
            <w:pPr>
              <w:snapToGrid w:val="0"/>
              <w:spacing w:line="300" w:lineRule="exact"/>
              <w:jc w:val="center"/>
              <w:rPr>
                <w:rFonts w:hint="eastAsia" w:ascii="Times New Roman" w:hAnsi="Times New Roman" w:eastAsia="方正仿宋_GBK" w:cs="方正仿宋_GBK"/>
                <w:color w:val="000000"/>
                <w:sz w:val="32"/>
                <w:szCs w:val="32"/>
              </w:rPr>
            </w:pPr>
          </w:p>
        </w:tc>
        <w:tc>
          <w:tcPr>
            <w:tcW w:w="2804" w:type="dxa"/>
            <w:vAlign w:val="center"/>
          </w:tcPr>
          <w:p w14:paraId="27062FE1">
            <w:pPr>
              <w:snapToGrid w:val="0"/>
              <w:spacing w:line="300" w:lineRule="exact"/>
              <w:jc w:val="center"/>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QC/T 44-2009</w:t>
            </w:r>
          </w:p>
        </w:tc>
      </w:tr>
      <w:tr w14:paraId="6A73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899" w:type="dxa"/>
            <w:vAlign w:val="center"/>
          </w:tcPr>
          <w:p w14:paraId="079C8FCC">
            <w:pPr>
              <w:snapToGrid w:val="0"/>
              <w:spacing w:line="300" w:lineRule="exact"/>
              <w:jc w:val="center"/>
              <w:rPr>
                <w:rFonts w:ascii="方正仿宋_GBK" w:hAnsi="方正仿宋_GBK" w:eastAsia="方正仿宋_GBK" w:cs="方正仿宋_GBK"/>
                <w:color w:val="000000"/>
                <w:sz w:val="32"/>
                <w:szCs w:val="32"/>
              </w:rPr>
            </w:pPr>
            <w:r>
              <w:rPr>
                <w:rFonts w:ascii="Times New Roman" w:hAnsi="Times New Roman" w:eastAsia="方正仿宋_GBK" w:cs="方正仿宋_GBK"/>
                <w:color w:val="000000"/>
                <w:sz w:val="32"/>
                <w:szCs w:val="32"/>
              </w:rPr>
              <w:t>3</w:t>
            </w:r>
          </w:p>
        </w:tc>
        <w:tc>
          <w:tcPr>
            <w:tcW w:w="3247" w:type="dxa"/>
            <w:vAlign w:val="center"/>
          </w:tcPr>
          <w:p w14:paraId="46A52530">
            <w:pPr>
              <w:snapToGrid w:val="0"/>
              <w:spacing w:line="300" w:lineRule="exact"/>
              <w:jc w:val="center"/>
              <w:rPr>
                <w:rFonts w:ascii="方正仿宋_GBK" w:hAnsi="方正仿宋_GBK" w:eastAsia="方正仿宋_GBK" w:cs="方正仿宋_GBK"/>
                <w:color w:val="000000"/>
                <w:sz w:val="32"/>
                <w:szCs w:val="32"/>
              </w:rPr>
            </w:pPr>
            <w:r>
              <w:rPr>
                <w:rFonts w:hint="eastAsia" w:ascii="Times New Roman" w:hAnsi="Times New Roman" w:eastAsia="方正仿宋_GBK" w:cs="方正仿宋_GBK"/>
                <w:color w:val="000000"/>
                <w:sz w:val="32"/>
                <w:szCs w:val="32"/>
              </w:rPr>
              <w:t>高温试验</w:t>
            </w:r>
          </w:p>
        </w:tc>
        <w:tc>
          <w:tcPr>
            <w:tcW w:w="2616" w:type="dxa"/>
            <w:vMerge w:val="continue"/>
            <w:tcBorders/>
            <w:vAlign w:val="center"/>
          </w:tcPr>
          <w:p w14:paraId="22E83508">
            <w:pPr>
              <w:snapToGrid w:val="0"/>
              <w:spacing w:line="300" w:lineRule="exact"/>
              <w:jc w:val="center"/>
              <w:rPr>
                <w:rFonts w:hint="eastAsia" w:ascii="Times New Roman" w:hAnsi="Times New Roman" w:eastAsia="方正仿宋_GBK" w:cs="方正仿宋_GBK"/>
                <w:color w:val="000000"/>
                <w:sz w:val="32"/>
                <w:szCs w:val="32"/>
              </w:rPr>
            </w:pPr>
          </w:p>
        </w:tc>
        <w:tc>
          <w:tcPr>
            <w:tcW w:w="2804" w:type="dxa"/>
            <w:vAlign w:val="center"/>
          </w:tcPr>
          <w:p w14:paraId="135FCB76">
            <w:pPr>
              <w:snapToGrid w:val="0"/>
              <w:spacing w:line="300" w:lineRule="exact"/>
              <w:jc w:val="center"/>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QC/T 44-2009</w:t>
            </w:r>
          </w:p>
        </w:tc>
      </w:tr>
    </w:tbl>
    <w:p w14:paraId="3E359B9E">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检验方法包括相关产品标准及试验方法标准。</w:t>
      </w:r>
    </w:p>
    <w:p w14:paraId="2415D01E">
      <w:pPr>
        <w:autoSpaceDE/>
        <w:autoSpaceDN/>
        <w:spacing w:line="600" w:lineRule="exact"/>
        <w:ind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仿宋_GBK" w:cs="方正仿宋_GBK"/>
          <w:kern w:val="2"/>
          <w:sz w:val="32"/>
          <w:szCs w:val="32"/>
          <w:lang w:val="en-US" w:bidi="ar-SA"/>
        </w:rPr>
        <w:t>凡是注日期的文件，其随后所有</w:t>
      </w:r>
      <w:bookmarkStart w:id="0" w:name="_GoBack"/>
      <w:bookmarkEnd w:id="0"/>
      <w:r>
        <w:rPr>
          <w:rFonts w:hint="eastAsia" w:ascii="Times New Roman" w:hAnsi="Times New Roman" w:eastAsia="方正仿宋_GBK" w:cs="方正仿宋_GBK"/>
          <w:kern w:val="2"/>
          <w:sz w:val="32"/>
          <w:szCs w:val="32"/>
          <w:lang w:val="en-US" w:bidi="ar-SA"/>
        </w:rPr>
        <w:t>的修改单（不包括勘误的内容）或修订版不适用于本细则。凡是不注日期的文件，其最新版本适用于本细则。</w:t>
      </w:r>
    </w:p>
    <w:p w14:paraId="134C54F1">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4.判定规则</w:t>
      </w:r>
    </w:p>
    <w:p w14:paraId="50B2B5CD">
      <w:pPr>
        <w:spacing w:line="600" w:lineRule="exact"/>
        <w:ind w:firstLine="640" w:firstLineChars="200"/>
        <w:jc w:val="both"/>
        <w:rPr>
          <w:rFonts w:ascii="方正仿宋_GBK" w:hAnsi="方正仿宋_GBK" w:eastAsia="方正仿宋_GBK" w:cs="方正仿宋_GBK"/>
          <w:sz w:val="32"/>
          <w:szCs w:val="32"/>
        </w:rPr>
      </w:pPr>
      <w:r>
        <w:rPr>
          <w:rFonts w:hint="eastAsia" w:ascii="Times New Roman" w:hAnsi="Times New Roman" w:eastAsia="方正楷体_GBK" w:cs="方正仿宋_GBK"/>
          <w:b w:val="0"/>
          <w:sz w:val="32"/>
          <w:szCs w:val="32"/>
          <w:shd w:val="clear" w:color="auto" w:fill="FFFFFF"/>
        </w:rPr>
        <w:t>4.1</w:t>
      </w:r>
      <w:r>
        <w:rPr>
          <w:rFonts w:hint="eastAsia" w:ascii="Times New Roman" w:hAnsi="Times New Roman" w:eastAsia="方正楷体_GBK" w:cs="方正仿宋_GBK"/>
          <w:b w:val="0"/>
          <w:sz w:val="32"/>
          <w:szCs w:val="32"/>
        </w:rPr>
        <w:t>依据标准</w:t>
      </w:r>
    </w:p>
    <w:p w14:paraId="4F33C31F">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ascii="Times New Roman" w:hAnsi="Times New Roman" w:eastAsia="方正仿宋_GBK" w:cs="方正仿宋_GBK"/>
          <w:kern w:val="2"/>
          <w:sz w:val="32"/>
          <w:szCs w:val="32"/>
          <w:lang w:val="en-US" w:bidi="ar-SA"/>
        </w:rPr>
        <w:t>QC/T 44-2009《汽车风窗玻璃电动刮水器》，以及现行有效的国家标准、行业标准、企业标准、团体标准、地方标准及产品明示质量要求</w:t>
      </w:r>
    </w:p>
    <w:p w14:paraId="0A618557">
      <w:pPr>
        <w:spacing w:line="600" w:lineRule="exact"/>
        <w:ind w:firstLine="640" w:firstLineChars="200"/>
        <w:jc w:val="both"/>
        <w:rPr>
          <w:rFonts w:ascii="方正仿宋_GBK" w:hAnsi="方正仿宋_GBK" w:eastAsia="方正仿宋_GBK" w:cs="方正仿宋_GBK"/>
          <w:sz w:val="32"/>
          <w:szCs w:val="32"/>
        </w:rPr>
      </w:pPr>
      <w:r>
        <w:rPr>
          <w:rFonts w:hint="eastAsia" w:ascii="Times New Roman" w:hAnsi="Times New Roman" w:eastAsia="方正楷体_GBK" w:cs="方正仿宋_GBK"/>
          <w:b w:val="0"/>
          <w:sz w:val="32"/>
          <w:szCs w:val="32"/>
          <w:shd w:val="clear" w:color="auto" w:fill="FFFFFF"/>
        </w:rPr>
        <w:t>4.2</w:t>
      </w:r>
      <w:r>
        <w:rPr>
          <w:rFonts w:hint="eastAsia" w:ascii="Times New Roman" w:hAnsi="Times New Roman" w:eastAsia="方正楷体_GBK" w:cs="方正仿宋_GBK"/>
          <w:b w:val="0"/>
          <w:sz w:val="32"/>
          <w:szCs w:val="32"/>
        </w:rPr>
        <w:t>判定原则</w:t>
      </w:r>
    </w:p>
    <w:p w14:paraId="510050C3">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sz w:val="32"/>
          <w:szCs w:val="32"/>
        </w:rPr>
        <w:t>经</w:t>
      </w:r>
      <w:r>
        <w:rPr>
          <w:rFonts w:hint="eastAsia" w:ascii="Times New Roman" w:hAnsi="Times New Roman" w:eastAsia="方正仿宋_GBK" w:cs="方正仿宋_GBK"/>
          <w:sz w:val="32"/>
          <w:szCs w:val="32"/>
          <w:lang w:val="en-US"/>
        </w:rPr>
        <w:t>抽样</w:t>
      </w:r>
      <w:r>
        <w:rPr>
          <w:rFonts w:hint="eastAsia" w:ascii="Times New Roman" w:hAnsi="Times New Roman" w:eastAsia="方正仿宋_GBK" w:cs="方正仿宋_GBK"/>
          <w:sz w:val="32"/>
          <w:szCs w:val="32"/>
        </w:rPr>
        <w:t>检验，检验项目全部合格，判定为</w:t>
      </w:r>
      <w:r>
        <w:rPr>
          <w:rFonts w:hint="eastAsia" w:ascii="Times New Roman" w:hAnsi="Times New Roman" w:eastAsia="方正仿宋_GBK" w:cs="方正仿宋_GBK"/>
          <w:sz w:val="32"/>
          <w:szCs w:val="32"/>
          <w:lang w:val="en-US"/>
        </w:rPr>
        <w:t>未发现不合格</w:t>
      </w:r>
      <w:r>
        <w:rPr>
          <w:rFonts w:hint="eastAsia" w:ascii="Times New Roman" w:hAnsi="Times New Roman" w:eastAsia="方正仿宋_GBK" w:cs="方正仿宋_GBK"/>
          <w:sz w:val="32"/>
          <w:szCs w:val="32"/>
        </w:rPr>
        <w:t>；检验项目中任一项或一项以上不合格，判定为不合格。</w:t>
      </w:r>
    </w:p>
    <w:p w14:paraId="26383583">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若被检产品明示的质量要求高于本细则中检验项目依据的标准要求时，应按被检产品明示的质量要求判定。</w:t>
      </w:r>
    </w:p>
    <w:p w14:paraId="685449A8">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若被检产品明示的质量要求低于本细则中检验项目依据的强制性标准要求时，应按照强制性标准要求判定。</w:t>
      </w:r>
    </w:p>
    <w:p w14:paraId="0E9E5242">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若被检产品明示的质量要求低于或包含细则中检验项目依据的推荐性标准要求时，应以被检产品明示的质量要求判定，但应在检验报告备注中进行说明。</w:t>
      </w:r>
    </w:p>
    <w:p w14:paraId="292A0244">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若被检产品明示的质量要求缺少本细则中检验项目依据的强制性标准要求时，应按照强制性标准要求判定。</w:t>
      </w:r>
    </w:p>
    <w:p w14:paraId="0CCE6BC8">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若被检产品明示的质量要求缺少本细则中检验项目依据的推荐性标准要求时，该项目不参与判定，但应在检验报告备注中进行说明。</w:t>
      </w:r>
    </w:p>
    <w:p w14:paraId="191CFEB3">
      <w:pPr>
        <w:autoSpaceDE/>
        <w:autoSpaceDN/>
        <w:spacing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Times New Roman" w:hAnsi="Times New Roman" w:eastAsia="方正黑体_GBK" w:cs="方正仿宋_GBK"/>
          <w:b w:val="0"/>
          <w:sz w:val="32"/>
          <w:szCs w:val="32"/>
          <w:shd w:val="clear" w:color="auto" w:fill="FFFFFF"/>
        </w:rPr>
        <w:t>5.</w:t>
      </w:r>
      <w:r>
        <w:rPr>
          <w:rFonts w:hint="eastAsia" w:ascii="Times New Roman" w:hAnsi="Times New Roman" w:eastAsia="方正黑体_GBK" w:cs="方正仿宋_GBK"/>
          <w:b w:val="0"/>
          <w:sz w:val="32"/>
          <w:szCs w:val="32"/>
          <w:shd w:val="clear" w:color="auto" w:fill="FFFFFF"/>
          <w:lang w:eastAsia="zh-CN"/>
        </w:rPr>
        <w:t>异</w:t>
      </w:r>
      <w:r>
        <w:rPr>
          <w:rFonts w:hint="eastAsia" w:ascii="Times New Roman" w:hAnsi="Times New Roman" w:eastAsia="方正黑体_GBK" w:cs="方正仿宋_GBK"/>
          <w:b w:val="0"/>
          <w:sz w:val="32"/>
          <w:szCs w:val="32"/>
          <w:shd w:val="clear" w:color="auto" w:fill="FFFFFF"/>
        </w:rPr>
        <w:t>议处理</w:t>
      </w:r>
    </w:p>
    <w:p w14:paraId="705E2779">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5.1对监督抽查程序有异议的，由任务下达部门核查相关证据后维持或者撤销原检验结果。</w:t>
      </w:r>
    </w:p>
    <w:p w14:paraId="3FB284F2">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46DF39CB">
      <w:pPr>
        <w:autoSpaceDE/>
        <w:autoSpaceDN/>
        <w:spacing w:line="600" w:lineRule="exact"/>
        <w:ind w:firstLineChars="200"/>
        <w:jc w:val="both"/>
        <w:rPr>
          <w:rFonts w:ascii="方正仿宋_GBK" w:hAnsi="方正仿宋_GBK" w:eastAsia="方正仿宋_GBK" w:cs="方正仿宋_GBK"/>
          <w:kern w:val="2"/>
          <w:sz w:val="32"/>
          <w:szCs w:val="32"/>
          <w:lang w:val="en-US" w:bidi="ar-SA"/>
        </w:rPr>
      </w:pPr>
      <w:r>
        <w:rPr>
          <w:rFonts w:hint="eastAsia" w:ascii="Times New Roman" w:hAnsi="Times New Roman" w:eastAsia="方正仿宋_GBK" w:cs="方正仿宋_GBK"/>
          <w:kern w:val="2"/>
          <w:sz w:val="32"/>
          <w:szCs w:val="32"/>
          <w:lang w:val="en-US" w:bidi="ar-SA"/>
        </w:rPr>
        <w:t>5.3对样品信息有异议的，任务下达部门核查样品确认情况和生产企业提交证明材料后，维持或者撤销原检验结果。</w:t>
      </w:r>
    </w:p>
    <w:p w14:paraId="47AEA700">
      <w:pPr>
        <w:pStyle w:val="5"/>
        <w:tabs>
          <w:tab w:val="left" w:pos="967"/>
          <w:tab w:val="left" w:pos="969"/>
        </w:tabs>
        <w:spacing w:line="600" w:lineRule="exact"/>
        <w:ind w:left="0" w:firstLine="640" w:firstLineChars="200"/>
        <w:rPr>
          <w:rFonts w:ascii="方正仿宋_GBK" w:hAnsi="方正仿宋_GBK" w:eastAsia="方正仿宋_GBK" w:cs="方正仿宋_GBK"/>
          <w:b w:val="0"/>
          <w:bCs w:val="0"/>
          <w:kern w:val="2"/>
          <w:sz w:val="32"/>
          <w:szCs w:val="32"/>
        </w:rPr>
      </w:pPr>
    </w:p>
    <w:sectPr>
      <w:footerReference r:id="rId3" w:type="default"/>
      <w:pgSz w:w="11910" w:h="16840"/>
      <w:pgMar w:top="2098" w:right="1474" w:bottom="1984" w:left="1587"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1" w:fontKey="{BC56A816-92AB-42E4-948E-287D4A90066F}"/>
  </w:font>
  <w:font w:name="方正黑体_GBK">
    <w:altName w:val="Arial Unicode MS"/>
    <w:panose1 w:val="00000000000000000000"/>
    <w:charset w:val="00"/>
    <w:family w:val="auto"/>
    <w:pitch w:val="default"/>
    <w:sig w:usb0="00000000" w:usb1="00000000" w:usb2="00000000" w:usb3="00000000" w:csb0="00040000" w:csb1="00000000"/>
    <w:embedRegular r:id="rId2" w:fontKey="{FDCEF087-CB69-465A-BAF2-D55266723D0B}"/>
  </w:font>
  <w:font w:name="Arial Unicode MS">
    <w:panose1 w:val="020B0604020202020204"/>
    <w:charset w:val="86"/>
    <w:family w:val="auto"/>
    <w:pitch w:val="default"/>
    <w:sig w:usb0="F7FFAEFF" w:usb1="F9DFFFFF" w:usb2="0000007F" w:usb3="00000000" w:csb0="203F01FF" w:csb1="DFFF0000"/>
  </w:font>
  <w:font w:name="方正仿宋_GBK">
    <w:panose1 w:val="02000000000000000000"/>
    <w:charset w:val="86"/>
    <w:family w:val="auto"/>
    <w:pitch w:val="default"/>
    <w:sig w:usb0="A00002BF" w:usb1="38CF7CFA" w:usb2="00082016" w:usb3="00000000" w:csb0="00040001" w:csb1="00000000"/>
    <w:embedRegular r:id="rId3" w:fontKey="{AE7B18F4-6CFB-40E9-B337-48FB8B9BD6E5}"/>
  </w:font>
  <w:font w:name="仿宋">
    <w:panose1 w:val="02010609060101010101"/>
    <w:charset w:val="86"/>
    <w:family w:val="modern"/>
    <w:pitch w:val="default"/>
    <w:sig w:usb0="800002BF" w:usb1="38CF7CFA" w:usb2="00000016" w:usb3="00000000" w:csb0="00040001" w:csb1="00000000"/>
    <w:embedRegular r:id="rId4" w:fontKey="{B48F14BD-E732-4305-B640-EF0C721AC231}"/>
  </w:font>
  <w:font w:name="方正楷体_GBK">
    <w:altName w:val="Arial Unicode MS"/>
    <w:panose1 w:val="00000000000000000000"/>
    <w:charset w:val="00"/>
    <w:family w:val="auto"/>
    <w:pitch w:val="default"/>
    <w:sig w:usb0="00000000" w:usb1="00000000" w:usb2="00000000" w:usb3="00000000" w:csb0="00000000" w:csb1="00000000"/>
    <w:embedRegular r:id="rId5" w:fontKey="{52E6A353-6DC2-4610-9DBB-388937DA65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4AC0D">
    <w:pPr>
      <w:pStyle w:val="6"/>
      <w:spacing w:line="14" w:lineRule="auto"/>
      <w:rPr>
        <w:sz w:val="20"/>
      </w:rPr>
    </w:pPr>
    <w:r>
      <w:rPr>
        <w:sz w:val="20"/>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55A3D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455A3D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5NmEzYzZjM2VlYjhkZGIyZjc2ZDcxYWM4NjEyNjgifQ=="/>
  </w:docVars>
  <w:rsids>
    <w:rsidRoot w:val="00D74BB0"/>
    <w:rsid w:val="0000650C"/>
    <w:rsid w:val="0003266E"/>
    <w:rsid w:val="00042E52"/>
    <w:rsid w:val="00075D2C"/>
    <w:rsid w:val="000831B2"/>
    <w:rsid w:val="00087661"/>
    <w:rsid w:val="000E438C"/>
    <w:rsid w:val="000F1035"/>
    <w:rsid w:val="00114B79"/>
    <w:rsid w:val="001228F5"/>
    <w:rsid w:val="00123C22"/>
    <w:rsid w:val="00164799"/>
    <w:rsid w:val="00164C00"/>
    <w:rsid w:val="001760BA"/>
    <w:rsid w:val="001C333A"/>
    <w:rsid w:val="001C67A8"/>
    <w:rsid w:val="002851E4"/>
    <w:rsid w:val="002B6731"/>
    <w:rsid w:val="002D7400"/>
    <w:rsid w:val="003031BA"/>
    <w:rsid w:val="003175BB"/>
    <w:rsid w:val="00363384"/>
    <w:rsid w:val="0036591F"/>
    <w:rsid w:val="003701C9"/>
    <w:rsid w:val="00395BCD"/>
    <w:rsid w:val="003C321B"/>
    <w:rsid w:val="003D4C42"/>
    <w:rsid w:val="003F788A"/>
    <w:rsid w:val="004058B1"/>
    <w:rsid w:val="00432A23"/>
    <w:rsid w:val="00435ACF"/>
    <w:rsid w:val="004626D2"/>
    <w:rsid w:val="00477D1A"/>
    <w:rsid w:val="0048122B"/>
    <w:rsid w:val="00491441"/>
    <w:rsid w:val="00493196"/>
    <w:rsid w:val="004B1147"/>
    <w:rsid w:val="004B1CE9"/>
    <w:rsid w:val="004D52A2"/>
    <w:rsid w:val="00533F57"/>
    <w:rsid w:val="00537E82"/>
    <w:rsid w:val="00557205"/>
    <w:rsid w:val="005833D3"/>
    <w:rsid w:val="00611AA6"/>
    <w:rsid w:val="00611E80"/>
    <w:rsid w:val="00614648"/>
    <w:rsid w:val="00621C5C"/>
    <w:rsid w:val="00665DE6"/>
    <w:rsid w:val="00684D22"/>
    <w:rsid w:val="006B3A82"/>
    <w:rsid w:val="006D13F8"/>
    <w:rsid w:val="007312EA"/>
    <w:rsid w:val="00731407"/>
    <w:rsid w:val="00735A0F"/>
    <w:rsid w:val="00741C21"/>
    <w:rsid w:val="0074736E"/>
    <w:rsid w:val="00747918"/>
    <w:rsid w:val="007522DE"/>
    <w:rsid w:val="007637F5"/>
    <w:rsid w:val="00767619"/>
    <w:rsid w:val="00775579"/>
    <w:rsid w:val="008225CF"/>
    <w:rsid w:val="008A359A"/>
    <w:rsid w:val="008F390B"/>
    <w:rsid w:val="009034C0"/>
    <w:rsid w:val="00903E92"/>
    <w:rsid w:val="0090775C"/>
    <w:rsid w:val="00912CC4"/>
    <w:rsid w:val="00923C62"/>
    <w:rsid w:val="009249DD"/>
    <w:rsid w:val="009555B3"/>
    <w:rsid w:val="0098052D"/>
    <w:rsid w:val="00A30987"/>
    <w:rsid w:val="00A60356"/>
    <w:rsid w:val="00A61ABB"/>
    <w:rsid w:val="00A94D00"/>
    <w:rsid w:val="00AA3B6D"/>
    <w:rsid w:val="00AC0C0B"/>
    <w:rsid w:val="00AC3FED"/>
    <w:rsid w:val="00AE2A65"/>
    <w:rsid w:val="00AF6DC8"/>
    <w:rsid w:val="00B07BCE"/>
    <w:rsid w:val="00B52AAF"/>
    <w:rsid w:val="00B60C93"/>
    <w:rsid w:val="00B913AD"/>
    <w:rsid w:val="00B95581"/>
    <w:rsid w:val="00BC2362"/>
    <w:rsid w:val="00BC446E"/>
    <w:rsid w:val="00BD18CC"/>
    <w:rsid w:val="00BF54E9"/>
    <w:rsid w:val="00C027A4"/>
    <w:rsid w:val="00C16AD7"/>
    <w:rsid w:val="00C201F5"/>
    <w:rsid w:val="00C22A5B"/>
    <w:rsid w:val="00C37A6F"/>
    <w:rsid w:val="00C53ED0"/>
    <w:rsid w:val="00C67EB6"/>
    <w:rsid w:val="00C9766F"/>
    <w:rsid w:val="00CC1D12"/>
    <w:rsid w:val="00CF7936"/>
    <w:rsid w:val="00D55525"/>
    <w:rsid w:val="00D74BB0"/>
    <w:rsid w:val="00DD4AF9"/>
    <w:rsid w:val="00DE70E1"/>
    <w:rsid w:val="00E02AF4"/>
    <w:rsid w:val="00E17597"/>
    <w:rsid w:val="00E6478C"/>
    <w:rsid w:val="00E90284"/>
    <w:rsid w:val="00EA2643"/>
    <w:rsid w:val="00ED4951"/>
    <w:rsid w:val="00F02FDD"/>
    <w:rsid w:val="00F21EBC"/>
    <w:rsid w:val="00F24F0D"/>
    <w:rsid w:val="00F51DE5"/>
    <w:rsid w:val="00F5409D"/>
    <w:rsid w:val="00F637EE"/>
    <w:rsid w:val="00F67193"/>
    <w:rsid w:val="00FA6411"/>
    <w:rsid w:val="00FB0EB0"/>
    <w:rsid w:val="00FB28E6"/>
    <w:rsid w:val="00FC734D"/>
    <w:rsid w:val="00FD14E7"/>
    <w:rsid w:val="0B007BD2"/>
    <w:rsid w:val="0FFD2735"/>
    <w:rsid w:val="1137070D"/>
    <w:rsid w:val="117D5540"/>
    <w:rsid w:val="14BD0584"/>
    <w:rsid w:val="1AD867BE"/>
    <w:rsid w:val="1CC83E0A"/>
    <w:rsid w:val="1D0E08D4"/>
    <w:rsid w:val="1F9C6A9E"/>
    <w:rsid w:val="37F95C4C"/>
    <w:rsid w:val="39FA77C8"/>
    <w:rsid w:val="3F63069C"/>
    <w:rsid w:val="3FFFCC56"/>
    <w:rsid w:val="49E83E1F"/>
    <w:rsid w:val="4C753AE6"/>
    <w:rsid w:val="4F174970"/>
    <w:rsid w:val="50A43D89"/>
    <w:rsid w:val="556FB086"/>
    <w:rsid w:val="5E631DAD"/>
    <w:rsid w:val="64D74ECD"/>
    <w:rsid w:val="68EE2392"/>
    <w:rsid w:val="6A7FF112"/>
    <w:rsid w:val="6DEF9193"/>
    <w:rsid w:val="6F4FDBF0"/>
    <w:rsid w:val="75151DA7"/>
    <w:rsid w:val="77F790C1"/>
    <w:rsid w:val="77FD88E1"/>
    <w:rsid w:val="79FF5450"/>
    <w:rsid w:val="7BFFE017"/>
    <w:rsid w:val="7FD741CB"/>
    <w:rsid w:val="AD7F5271"/>
    <w:rsid w:val="BDEE00AA"/>
    <w:rsid w:val="D4FA6AFC"/>
    <w:rsid w:val="D7FD73D0"/>
    <w:rsid w:val="D9EE4008"/>
    <w:rsid w:val="DF8D3B95"/>
    <w:rsid w:val="EBAF7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2121" w:right="2138"/>
      <w:jc w:val="center"/>
      <w:outlineLvl w:val="0"/>
    </w:pPr>
    <w:rPr>
      <w:b/>
      <w:bCs/>
      <w:sz w:val="32"/>
      <w:szCs w:val="32"/>
    </w:rPr>
  </w:style>
  <w:style w:type="paragraph" w:styleId="3">
    <w:name w:val="heading 2"/>
    <w:basedOn w:val="1"/>
    <w:next w:val="1"/>
    <w:qFormat/>
    <w:uiPriority w:val="1"/>
    <w:pPr>
      <w:ind w:left="789"/>
      <w:outlineLvl w:val="1"/>
    </w:pPr>
    <w:rPr>
      <w:b/>
      <w:bCs/>
      <w:sz w:val="28"/>
      <w:szCs w:val="28"/>
    </w:rPr>
  </w:style>
  <w:style w:type="paragraph" w:styleId="4">
    <w:name w:val="heading 3"/>
    <w:basedOn w:val="1"/>
    <w:next w:val="1"/>
    <w:qFormat/>
    <w:uiPriority w:val="1"/>
    <w:pPr>
      <w:spacing w:before="186"/>
      <w:ind w:left="227"/>
      <w:outlineLvl w:val="2"/>
    </w:pPr>
    <w:rPr>
      <w:sz w:val="28"/>
      <w:szCs w:val="28"/>
    </w:rPr>
  </w:style>
  <w:style w:type="paragraph" w:styleId="5">
    <w:name w:val="heading 4"/>
    <w:basedOn w:val="1"/>
    <w:next w:val="1"/>
    <w:qFormat/>
    <w:uiPriority w:val="1"/>
    <w:pPr>
      <w:ind w:left="862"/>
      <w:outlineLvl w:val="3"/>
    </w:pPr>
    <w:rPr>
      <w:b/>
      <w:bCs/>
      <w:sz w:val="21"/>
      <w:szCs w:val="21"/>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9"/>
    <w:qFormat/>
    <w:uiPriority w:val="1"/>
    <w:rPr>
      <w:sz w:val="21"/>
      <w:szCs w:val="21"/>
    </w:rPr>
  </w:style>
  <w:style w:type="paragraph" w:styleId="7">
    <w:name w:val="Balloon Text"/>
    <w:basedOn w:val="1"/>
    <w:link w:val="16"/>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unhideWhenUsed/>
    <w:qFormat/>
    <w:uiPriority w:val="2"/>
    <w:tblPr>
      <w:tblCellMar>
        <w:top w:w="0" w:type="dxa"/>
        <w:left w:w="0" w:type="dxa"/>
        <w:bottom w:w="0" w:type="dxa"/>
        <w:right w:w="0" w:type="dxa"/>
      </w:tblCellMar>
    </w:tblPr>
  </w:style>
  <w:style w:type="paragraph" w:customStyle="1" w:styleId="14">
    <w:name w:val="列出段落1"/>
    <w:basedOn w:val="1"/>
    <w:qFormat/>
    <w:uiPriority w:val="1"/>
    <w:pPr>
      <w:ind w:left="227" w:firstLine="420"/>
    </w:pPr>
  </w:style>
  <w:style w:type="paragraph" w:customStyle="1" w:styleId="15">
    <w:name w:val="Table Paragraph"/>
    <w:basedOn w:val="1"/>
    <w:qFormat/>
    <w:uiPriority w:val="1"/>
  </w:style>
  <w:style w:type="character" w:customStyle="1" w:styleId="16">
    <w:name w:val="批注框文本 字符"/>
    <w:basedOn w:val="12"/>
    <w:link w:val="7"/>
    <w:semiHidden/>
    <w:qFormat/>
    <w:uiPriority w:val="99"/>
    <w:rPr>
      <w:rFonts w:ascii="宋体" w:hAnsi="宋体" w:eastAsia="宋体" w:cs="宋体"/>
      <w:sz w:val="18"/>
      <w:szCs w:val="18"/>
      <w:lang w:val="zh-CN" w:eastAsia="zh-CN" w:bidi="zh-CN"/>
    </w:rPr>
  </w:style>
  <w:style w:type="character" w:customStyle="1" w:styleId="17">
    <w:name w:val="页眉 字符"/>
    <w:basedOn w:val="12"/>
    <w:link w:val="9"/>
    <w:qFormat/>
    <w:uiPriority w:val="99"/>
    <w:rPr>
      <w:rFonts w:ascii="宋体" w:hAnsi="宋体" w:eastAsia="宋体" w:cs="宋体"/>
      <w:sz w:val="18"/>
      <w:szCs w:val="18"/>
      <w:lang w:val="zh-CN" w:eastAsia="zh-CN" w:bidi="zh-CN"/>
    </w:rPr>
  </w:style>
  <w:style w:type="character" w:customStyle="1" w:styleId="18">
    <w:name w:val="页脚 字符"/>
    <w:basedOn w:val="12"/>
    <w:link w:val="8"/>
    <w:qFormat/>
    <w:uiPriority w:val="99"/>
    <w:rPr>
      <w:rFonts w:ascii="宋体" w:hAnsi="宋体" w:eastAsia="宋体" w:cs="宋体"/>
      <w:sz w:val="18"/>
      <w:szCs w:val="18"/>
      <w:lang w:val="zh-CN" w:eastAsia="zh-CN" w:bidi="zh-CN"/>
    </w:rPr>
  </w:style>
  <w:style w:type="character" w:customStyle="1" w:styleId="19">
    <w:name w:val="正文文本 字符"/>
    <w:basedOn w:val="12"/>
    <w:link w:val="6"/>
    <w:qFormat/>
    <w:uiPriority w:val="1"/>
    <w:rPr>
      <w:rFonts w:ascii="宋体" w:hAnsi="宋体" w:eastAsia="宋体" w:cs="宋体"/>
      <w:sz w:val="21"/>
      <w:szCs w:val="21"/>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合肥产品质量监督检验研究院</Company>
  <Pages>3</Pages>
  <Words>1102</Words>
  <Characters>1174</Characters>
  <Lines>8</Lines>
  <Paragraphs>2</Paragraphs>
  <TotalTime>0</TotalTime>
  <ScaleCrop>false</ScaleCrop>
  <LinksUpToDate>false</LinksUpToDate>
  <CharactersWithSpaces>1181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2026-10-08T02:58:00Z</dcterms:created>
  <dc:creator>合肥质检院，程浩</dc:creator>
  <cp:lastModifiedBy>贺杨</cp:lastModifiedBy>
  <dcterms:modified xsi:type="dcterms:W3CDTF">2026-10-09T05:07:52Z</dcterms:modified>
  <dc:title>安全帽产品质量监督抽查实施细则</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2018-08-02T00:00:00Z</vt:filetime>
  </property>
  <property fmtid="{D5CDD505-2E9C-101B-9397-08002B2CF9AE}" pid="3" name="Creator">
    <vt:lpwstr>PScript5.dll Version 5.2</vt:lpwstr>
  </property>
  <property fmtid="{D5CDD505-2E9C-101B-9397-08002B2CF9AE}" pid="4" name="LastSaved">
    <vt:filetime>2019-01-21T00:00:00Z</vt:filetime>
  </property>
  <property fmtid="{D5CDD505-2E9C-101B-9397-08002B2CF9AE}" pid="5" name="KSOProductBuildVer">
    <vt:lpwstr>2052-12.1.0.28505</vt:lpwstr>
  </property>
  <property fmtid="{D5CDD505-2E9C-101B-9397-08002B2CF9AE}" pid="6" name="ICV">
    <vt:lpwstr>AD17B1E6C3ECC1D3D54B3A6AC7D17D2E_43</vt:lpwstr>
  </property>
  <property fmtid="{D5CDD505-2E9C-101B-9397-08002B2CF9AE}" pid="7" name="KSOTemplateDocerSaveRecord">
    <vt:lpwstr>eyJoZGlkIjoiZjIzYTE4ODM2MWYzMWQ0MmJmMjM1YWZlOTQ2YjI5YTMiLCJ1c2VySWQiOiIxMTQ2MDk0ODM4In0=</vt:lpwstr>
  </property>
</Properties>
</file>