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D6951">
      <w:pPr>
        <w:autoSpaceDE/>
        <w:autoSpaceDN/>
        <w:adjustRightInd/>
        <w:snapToGrid w:val="0"/>
        <w:spacing w:after="120" w:afterLines="50" w:line="580" w:lineRule="exact"/>
        <w:jc w:val="center"/>
        <w:rPr>
          <w:rFonts w:ascii="宋体" w:eastAsia="宋体" w:cs="宋体"/>
          <w:b/>
          <w:bCs/>
          <w:sz w:val="36"/>
          <w:szCs w:val="36"/>
        </w:rPr>
      </w:pPr>
      <w:r>
        <w:rPr>
          <w:rFonts w:hint="eastAsia" w:ascii="方正小标宋_GBK" w:hAnsi="宋体" w:eastAsia="方正小标宋_GBK" w:cs="方正小标宋_GBK"/>
          <w:color w:val="000000"/>
          <w:kern w:val="2"/>
          <w:sz w:val="44"/>
          <w:szCs w:val="44"/>
        </w:rPr>
        <w:t>2026年连云港市婴幼儿塑料奶瓶产品质量监督抽查实施细则</w:t>
      </w:r>
    </w:p>
    <w:p w14:paraId="311DFEE6">
      <w:pPr>
        <w:autoSpaceDE/>
        <w:autoSpaceDN/>
        <w:adjustRightInd/>
        <w:spacing w:line="600" w:lineRule="exact"/>
        <w:ind w:firstLine="640" w:firstLineChars="200"/>
        <w:jc w:val="both"/>
        <w:outlineLvl w:val="0"/>
        <w:rPr>
          <w:rFonts w:hint="eastAsia" w:ascii="黑体" w:hAnsi="黑体" w:eastAsia="黑体" w:cs="黑体"/>
          <w:bCs/>
          <w:kern w:val="2"/>
          <w:sz w:val="32"/>
          <w:szCs w:val="32"/>
        </w:rPr>
      </w:pPr>
      <w:r>
        <w:rPr>
          <w:rFonts w:ascii="黑体" w:hAnsi="黑体" w:eastAsia="黑体" w:cs="黑体"/>
          <w:bCs/>
          <w:kern w:val="2"/>
          <w:sz w:val="32"/>
          <w:szCs w:val="32"/>
        </w:rPr>
        <w:t>1.</w:t>
      </w:r>
      <w:r>
        <w:rPr>
          <w:rFonts w:hint="eastAsia" w:ascii="黑体" w:hAnsi="黑体" w:eastAsia="黑体" w:cs="黑体"/>
          <w:bCs/>
          <w:kern w:val="2"/>
          <w:sz w:val="32"/>
          <w:szCs w:val="32"/>
        </w:rPr>
        <w:t>范围</w:t>
      </w:r>
    </w:p>
    <w:p w14:paraId="66C8996A">
      <w:pPr>
        <w:pStyle w:val="3"/>
        <w:kinsoku w:val="0"/>
        <w:overflowPunct w:val="0"/>
        <w:spacing w:before="116" w:line="290" w:lineRule="auto"/>
        <w:ind w:left="219" w:right="221" w:firstLine="640"/>
        <w:jc w:val="both"/>
      </w:pPr>
      <w:r>
        <w:rPr>
          <w:rFonts w:hint="eastAsia"/>
          <w:spacing w:val="12"/>
          <w:w w:val="95"/>
        </w:rPr>
        <w:t>本细则适用于连云港市市场监督管理局组织的婴幼儿塑料奶</w:t>
      </w:r>
      <w:r>
        <w:rPr>
          <w:spacing w:val="12"/>
          <w:w w:val="95"/>
        </w:rPr>
        <w:t xml:space="preserve"> </w:t>
      </w:r>
      <w:r>
        <w:rPr>
          <w:rFonts w:hint="eastAsia"/>
          <w:spacing w:val="-1"/>
          <w:w w:val="95"/>
        </w:rPr>
        <w:t>瓶产品质量监督抽查检验。本细则规定了此产品的抽样方法、检</w:t>
      </w:r>
      <w:r>
        <w:rPr>
          <w:rFonts w:hint="eastAsia"/>
        </w:rPr>
        <w:t>验依据、检验项目、检验方法、判定原则、异议处理及复检。</w:t>
      </w:r>
    </w:p>
    <w:p w14:paraId="38B26BDF">
      <w:pPr>
        <w:autoSpaceDE/>
        <w:autoSpaceDN/>
        <w:adjustRightInd/>
        <w:spacing w:line="560" w:lineRule="exact"/>
        <w:ind w:firstLine="640" w:firstLineChars="200"/>
        <w:outlineLvl w:val="0"/>
        <w:rPr>
          <w:rFonts w:ascii="黑体" w:eastAsia="黑体" w:cs="黑体"/>
        </w:rPr>
      </w:pPr>
      <w:r>
        <w:rPr>
          <w:rFonts w:ascii="黑体" w:hAnsi="黑体" w:eastAsia="黑体" w:cs="黑体"/>
          <w:bCs/>
          <w:kern w:val="2"/>
          <w:sz w:val="32"/>
          <w:szCs w:val="32"/>
        </w:rPr>
        <w:t>2.</w:t>
      </w:r>
      <w:r>
        <w:rPr>
          <w:rFonts w:hint="eastAsia" w:ascii="黑体" w:hAnsi="黑体" w:eastAsia="黑体" w:cs="黑体"/>
          <w:bCs/>
          <w:kern w:val="2"/>
          <w:sz w:val="32"/>
          <w:szCs w:val="32"/>
        </w:rPr>
        <w:t>抽样方法</w:t>
      </w:r>
    </w:p>
    <w:p w14:paraId="2FE12739">
      <w:pPr>
        <w:autoSpaceDE/>
        <w:autoSpaceDN/>
        <w:adjustRightInd/>
        <w:spacing w:line="560" w:lineRule="exact"/>
        <w:ind w:firstLine="640" w:firstLineChars="200"/>
        <w:rPr>
          <w:rFonts w:hint="eastAsia" w:ascii="方正仿宋_GBK" w:hAnsi="方正仿宋_GBK" w:eastAsia="方正仿宋_GBK" w:cs="方正仿宋_GBK"/>
          <w:b/>
          <w:color w:val="000000" w:themeColor="text1"/>
          <w:kern w:val="2"/>
          <w:sz w:val="32"/>
          <w:szCs w:val="32"/>
        </w:rPr>
      </w:pPr>
      <w:r>
        <w:rPr>
          <w:rFonts w:ascii="方正仿宋_GBK" w:hAnsi="方正仿宋_GBK" w:eastAsia="方正仿宋_GBK" w:cs="方正仿宋_GBK"/>
          <w:b/>
          <w:color w:val="000000" w:themeColor="text1"/>
          <w:kern w:val="2"/>
          <w:sz w:val="32"/>
          <w:szCs w:val="32"/>
        </w:rPr>
        <w:t xml:space="preserve">2.1 </w:t>
      </w:r>
      <w:r>
        <w:rPr>
          <w:rFonts w:hint="eastAsia" w:ascii="方正仿宋_GBK" w:hAnsi="方正仿宋_GBK" w:eastAsia="方正仿宋_GBK" w:cs="方正仿宋_GBK"/>
          <w:b/>
          <w:color w:val="000000" w:themeColor="text1"/>
          <w:kern w:val="2"/>
          <w:sz w:val="32"/>
          <w:szCs w:val="32"/>
        </w:rPr>
        <w:t>生产企业、实体店抽样</w:t>
      </w:r>
    </w:p>
    <w:p w14:paraId="6BAA8E0C">
      <w:pPr>
        <w:pStyle w:val="3"/>
        <w:kinsoku w:val="0"/>
        <w:overflowPunct w:val="0"/>
        <w:spacing w:before="0" w:line="560" w:lineRule="exact"/>
        <w:ind w:left="0" w:firstLine="604" w:firstLineChars="200"/>
      </w:pPr>
      <w:r>
        <w:rPr>
          <w:rFonts w:hint="eastAsia"/>
          <w:spacing w:val="-1"/>
          <w:w w:val="95"/>
        </w:rPr>
        <w:t>在受检企业的成品仓库或者其确认场所，随机抽取有产品质</w:t>
      </w:r>
      <w:r>
        <w:rPr>
          <w:rFonts w:hint="eastAsia"/>
          <w:w w:val="95"/>
        </w:rPr>
        <w:t>量检验合格证明或者其他形式表明合格的待销产品，抽样基数应</w:t>
      </w:r>
      <w:r>
        <w:rPr>
          <w:w w:val="95"/>
        </w:rPr>
        <w:t xml:space="preserve"> </w:t>
      </w:r>
      <w:r>
        <w:rPr>
          <w:rFonts w:hint="eastAsia"/>
          <w:w w:val="95"/>
        </w:rPr>
        <w:t>满足抽样要求。抽样过程均需拍照留证。一经抽样，立即封样，</w:t>
      </w:r>
      <w:r>
        <w:rPr>
          <w:w w:val="95"/>
        </w:rPr>
        <w:t xml:space="preserve"> </w:t>
      </w:r>
      <w:r>
        <w:rPr>
          <w:rFonts w:hint="eastAsia"/>
        </w:rPr>
        <w:t>任何人不得调换。</w:t>
      </w:r>
    </w:p>
    <w:p w14:paraId="0918421F">
      <w:pPr>
        <w:autoSpaceDE/>
        <w:autoSpaceDN/>
        <w:adjustRightInd/>
        <w:spacing w:line="560" w:lineRule="exact"/>
        <w:ind w:firstLine="640" w:firstLineChars="200"/>
        <w:rPr>
          <w:rFonts w:hint="eastAsia" w:ascii="方正仿宋_GBK" w:hAnsi="方正仿宋_GBK" w:eastAsia="方正仿宋_GBK" w:cs="方正仿宋_GBK"/>
          <w:b/>
          <w:color w:val="000000" w:themeColor="text1"/>
          <w:kern w:val="2"/>
          <w:sz w:val="32"/>
          <w:szCs w:val="32"/>
        </w:rPr>
      </w:pPr>
      <w:r>
        <w:rPr>
          <w:rFonts w:ascii="方正仿宋_GBK" w:hAnsi="方正仿宋_GBK" w:eastAsia="方正仿宋_GBK" w:cs="方正仿宋_GBK"/>
          <w:b/>
          <w:color w:val="000000" w:themeColor="text1"/>
          <w:kern w:val="2"/>
          <w:sz w:val="32"/>
          <w:szCs w:val="32"/>
        </w:rPr>
        <w:t xml:space="preserve">2.2 </w:t>
      </w:r>
      <w:r>
        <w:rPr>
          <w:rFonts w:hint="eastAsia" w:ascii="方正仿宋_GBK" w:hAnsi="方正仿宋_GBK" w:eastAsia="方正仿宋_GBK" w:cs="方正仿宋_GBK"/>
          <w:b/>
          <w:color w:val="000000" w:themeColor="text1"/>
          <w:kern w:val="2"/>
          <w:sz w:val="32"/>
          <w:szCs w:val="32"/>
        </w:rPr>
        <w:t>电商平台采样</w:t>
      </w:r>
    </w:p>
    <w:p w14:paraId="02AD5823">
      <w:pPr>
        <w:pStyle w:val="3"/>
        <w:kinsoku w:val="0"/>
        <w:overflowPunct w:val="0"/>
        <w:spacing w:before="0" w:line="560" w:lineRule="exact"/>
        <w:ind w:left="0" w:firstLine="640" w:firstLineChars="200"/>
      </w:pPr>
      <w:r>
        <w:rPr>
          <w:rFonts w:hint="eastAsia"/>
        </w:rPr>
        <w:t>抽样数量为同一型号</w:t>
      </w:r>
      <w:r>
        <w:rPr>
          <w:spacing w:val="-67"/>
        </w:rPr>
        <w:t xml:space="preserve"> </w:t>
      </w:r>
      <w:r>
        <w:rPr>
          <w:rFonts w:hint="eastAsia"/>
        </w:rPr>
        <w:t>8</w:t>
      </w:r>
      <w:r>
        <w:rPr>
          <w:spacing w:val="-68"/>
        </w:rPr>
        <w:t xml:space="preserve"> </w:t>
      </w:r>
      <w:r>
        <w:rPr>
          <w:rFonts w:hint="eastAsia"/>
        </w:rPr>
        <w:t>个。</w:t>
      </w:r>
    </w:p>
    <w:p w14:paraId="4F1AE505">
      <w:pPr>
        <w:autoSpaceDE/>
        <w:autoSpaceDN/>
        <w:adjustRightInd/>
        <w:spacing w:line="560" w:lineRule="exact"/>
        <w:ind w:firstLine="640" w:firstLineChars="200"/>
        <w:outlineLvl w:val="0"/>
        <w:rPr>
          <w:rFonts w:hint="eastAsia" w:ascii="黑体" w:hAnsi="黑体" w:eastAsia="黑体" w:cs="黑体"/>
          <w:bCs/>
          <w:kern w:val="2"/>
          <w:sz w:val="32"/>
          <w:szCs w:val="32"/>
        </w:rPr>
      </w:pPr>
      <w:r>
        <w:rPr>
          <w:rFonts w:ascii="黑体" w:hAnsi="黑体" w:eastAsia="黑体" w:cs="黑体"/>
          <w:bCs/>
          <w:kern w:val="2"/>
          <w:sz w:val="32"/>
          <w:szCs w:val="32"/>
        </w:rPr>
        <w:t>3.</w:t>
      </w:r>
      <w:r>
        <w:rPr>
          <w:rFonts w:hint="eastAsia" w:ascii="黑体" w:hAnsi="黑体" w:eastAsia="黑体" w:cs="黑体"/>
          <w:bCs/>
          <w:kern w:val="2"/>
          <w:sz w:val="32"/>
          <w:szCs w:val="32"/>
        </w:rPr>
        <w:t>检验依据</w:t>
      </w:r>
    </w:p>
    <w:p w14:paraId="55D0D466">
      <w:pPr>
        <w:pStyle w:val="3"/>
        <w:kinsoku w:val="0"/>
        <w:overflowPunct w:val="0"/>
        <w:spacing w:before="124" w:after="52"/>
        <w:ind w:left="2852"/>
        <w:rPr>
          <w:rFonts w:ascii="宋体" w:eastAsia="宋体" w:cs="宋体"/>
          <w:sz w:val="28"/>
          <w:szCs w:val="28"/>
        </w:rPr>
      </w:pPr>
      <w:r>
        <w:rPr>
          <w:rFonts w:hint="eastAsia" w:ascii="宋体" w:eastAsia="宋体" w:cs="宋体"/>
          <w:sz w:val="28"/>
          <w:szCs w:val="28"/>
        </w:rPr>
        <w:t>表</w:t>
      </w:r>
      <w:r>
        <w:rPr>
          <w:rFonts w:ascii="宋体" w:eastAsia="宋体" w:cs="宋体"/>
          <w:sz w:val="28"/>
          <w:szCs w:val="28"/>
        </w:rPr>
        <w:t>1</w:t>
      </w:r>
      <w:r>
        <w:rPr>
          <w:rFonts w:ascii="宋体" w:eastAsia="宋体" w:cs="宋体"/>
          <w:spacing w:val="-60"/>
          <w:sz w:val="28"/>
          <w:szCs w:val="28"/>
        </w:rPr>
        <w:t xml:space="preserve"> </w:t>
      </w:r>
      <w:r>
        <w:rPr>
          <w:rFonts w:hint="eastAsia" w:ascii="宋体" w:eastAsia="宋体" w:cs="宋体"/>
          <w:sz w:val="28"/>
          <w:szCs w:val="28"/>
        </w:rPr>
        <w:t>婴幼儿塑料奶瓶产品检验项目</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783"/>
        <w:gridCol w:w="2826"/>
        <w:gridCol w:w="2761"/>
      </w:tblGrid>
      <w:tr w14:paraId="417B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765" w:type="dxa"/>
            <w:vAlign w:val="center"/>
          </w:tcPr>
          <w:p w14:paraId="477126E5">
            <w:pPr>
              <w:pStyle w:val="12"/>
              <w:kinsoku w:val="0"/>
              <w:overflowPunct w:val="0"/>
              <w:spacing w:before="123"/>
              <w:jc w:val="center"/>
            </w:pPr>
            <w:r>
              <w:rPr>
                <w:rFonts w:hint="eastAsia" w:ascii="仿宋" w:eastAsia="仿宋" w:cs="仿宋"/>
              </w:rPr>
              <w:t>序号</w:t>
            </w:r>
          </w:p>
        </w:tc>
        <w:tc>
          <w:tcPr>
            <w:tcW w:w="2783" w:type="dxa"/>
            <w:vAlign w:val="center"/>
          </w:tcPr>
          <w:p w14:paraId="5AEDF0DD">
            <w:pPr>
              <w:pStyle w:val="12"/>
              <w:kinsoku w:val="0"/>
              <w:overflowPunct w:val="0"/>
              <w:spacing w:before="123"/>
              <w:ind w:right="1"/>
              <w:jc w:val="center"/>
            </w:pPr>
            <w:r>
              <w:rPr>
                <w:rFonts w:hint="eastAsia" w:ascii="仿宋" w:eastAsia="仿宋" w:cs="仿宋"/>
              </w:rPr>
              <w:t>检验项目</w:t>
            </w:r>
          </w:p>
        </w:tc>
        <w:tc>
          <w:tcPr>
            <w:tcW w:w="2826" w:type="dxa"/>
            <w:vAlign w:val="center"/>
          </w:tcPr>
          <w:p w14:paraId="753E27AC">
            <w:pPr>
              <w:pStyle w:val="12"/>
              <w:kinsoku w:val="0"/>
              <w:overflowPunct w:val="0"/>
              <w:spacing w:before="123"/>
              <w:jc w:val="center"/>
            </w:pPr>
            <w:r>
              <w:rPr>
                <w:rFonts w:hint="eastAsia" w:ascii="仿宋" w:eastAsia="仿宋" w:cs="仿宋"/>
              </w:rPr>
              <w:t>判定依据</w:t>
            </w:r>
          </w:p>
        </w:tc>
        <w:tc>
          <w:tcPr>
            <w:tcW w:w="2761" w:type="dxa"/>
            <w:vAlign w:val="center"/>
          </w:tcPr>
          <w:p w14:paraId="6C84E612">
            <w:pPr>
              <w:pStyle w:val="12"/>
              <w:kinsoku w:val="0"/>
              <w:overflowPunct w:val="0"/>
              <w:spacing w:before="123"/>
              <w:ind w:left="896"/>
            </w:pPr>
            <w:r>
              <w:rPr>
                <w:rFonts w:hint="eastAsia" w:ascii="仿宋" w:eastAsia="仿宋" w:cs="仿宋"/>
              </w:rPr>
              <w:t>检测方法</w:t>
            </w:r>
          </w:p>
        </w:tc>
      </w:tr>
      <w:tr w14:paraId="6A98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5" w:type="dxa"/>
            <w:vAlign w:val="center"/>
          </w:tcPr>
          <w:p w14:paraId="2E532316">
            <w:pPr>
              <w:pStyle w:val="12"/>
              <w:kinsoku w:val="0"/>
              <w:overflowPunct w:val="0"/>
              <w:spacing w:before="33"/>
              <w:jc w:val="center"/>
            </w:pPr>
            <w:r>
              <w:rPr>
                <w:rFonts w:ascii="仿宋" w:eastAsia="仿宋" w:cs="仿宋"/>
              </w:rPr>
              <w:t>1</w:t>
            </w:r>
          </w:p>
        </w:tc>
        <w:tc>
          <w:tcPr>
            <w:tcW w:w="2783" w:type="dxa"/>
            <w:vAlign w:val="center"/>
          </w:tcPr>
          <w:p w14:paraId="4675C47B">
            <w:pPr>
              <w:pStyle w:val="12"/>
              <w:kinsoku w:val="0"/>
              <w:overflowPunct w:val="0"/>
              <w:spacing w:before="33"/>
              <w:ind w:right="1"/>
              <w:jc w:val="center"/>
            </w:pPr>
            <w:r>
              <w:rPr>
                <w:rFonts w:hint="eastAsia" w:ascii="仿宋" w:eastAsia="仿宋" w:cs="仿宋"/>
              </w:rPr>
              <w:t>感官要求</w:t>
            </w:r>
          </w:p>
        </w:tc>
        <w:tc>
          <w:tcPr>
            <w:tcW w:w="2826" w:type="dxa"/>
            <w:vAlign w:val="center"/>
          </w:tcPr>
          <w:p w14:paraId="2EFF7315">
            <w:pPr>
              <w:snapToGrid w:val="0"/>
              <w:jc w:val="center"/>
              <w:rPr>
                <w:rFonts w:hint="eastAsia" w:ascii="仿宋" w:hAnsi="仿宋" w:eastAsia="仿宋" w:cs="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18EEC2A6">
            <w:pPr>
              <w:pStyle w:val="12"/>
              <w:kinsoku w:val="0"/>
              <w:overflowPunct w:val="0"/>
              <w:spacing w:before="33"/>
              <w:jc w:val="center"/>
            </w:pPr>
            <w:r>
              <w:rPr>
                <w:rFonts w:hint="eastAsia" w:ascii="仿宋" w:hAnsi="仿宋" w:eastAsia="仿宋" w:cs="仿宋"/>
                <w:color w:val="000000"/>
              </w:rPr>
              <w:t>GB 4806.7—2023</w:t>
            </w:r>
          </w:p>
        </w:tc>
        <w:tc>
          <w:tcPr>
            <w:tcW w:w="2761" w:type="dxa"/>
            <w:vAlign w:val="center"/>
          </w:tcPr>
          <w:p w14:paraId="1AAE21DD">
            <w:pPr>
              <w:snapToGrid w:val="0"/>
              <w:jc w:val="center"/>
              <w:rPr>
                <w:rFonts w:hint="eastAsia" w:ascii="仿宋" w:hAnsi="仿宋" w:eastAsia="仿宋" w:cs="仿宋"/>
                <w:color w:val="000000"/>
              </w:rPr>
            </w:pPr>
            <w:r>
              <w:rPr>
                <w:rFonts w:ascii="仿宋" w:hAnsi="仿宋" w:eastAsia="仿宋" w:cs="仿宋"/>
                <w:color w:val="000000"/>
              </w:rPr>
              <w:t>GB 4806.7</w:t>
            </w:r>
            <w:r>
              <w:rPr>
                <w:rFonts w:hint="eastAsia" w:ascii="仿宋" w:hAnsi="仿宋" w:eastAsia="仿宋" w:cs="仿宋"/>
                <w:color w:val="000000"/>
              </w:rPr>
              <w:t>—</w:t>
            </w:r>
            <w:r>
              <w:rPr>
                <w:rFonts w:ascii="仿宋" w:hAnsi="仿宋" w:eastAsia="仿宋" w:cs="仿宋"/>
                <w:color w:val="000000"/>
              </w:rPr>
              <w:t xml:space="preserve">2016 </w:t>
            </w:r>
          </w:p>
          <w:p w14:paraId="2555E0AC">
            <w:pPr>
              <w:pStyle w:val="12"/>
              <w:kinsoku w:val="0"/>
              <w:overflowPunct w:val="0"/>
              <w:spacing w:before="33"/>
              <w:ind w:right="533"/>
              <w:jc w:val="right"/>
            </w:pPr>
            <w:r>
              <w:rPr>
                <w:rFonts w:ascii="仿宋" w:hAnsi="仿宋" w:eastAsia="仿宋" w:cs="仿宋"/>
                <w:color w:val="000000"/>
              </w:rPr>
              <w:t>GB 4806.7</w:t>
            </w:r>
            <w:r>
              <w:rPr>
                <w:rFonts w:hint="eastAsia" w:ascii="仿宋" w:hAnsi="仿宋" w:eastAsia="仿宋" w:cs="仿宋"/>
                <w:color w:val="000000"/>
              </w:rPr>
              <w:t>—</w:t>
            </w:r>
            <w:r>
              <w:rPr>
                <w:rFonts w:ascii="仿宋" w:hAnsi="仿宋" w:eastAsia="仿宋" w:cs="仿宋"/>
                <w:color w:val="000000"/>
              </w:rPr>
              <w:t>2023</w:t>
            </w:r>
          </w:p>
        </w:tc>
      </w:tr>
      <w:tr w14:paraId="14EA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5" w:type="dxa"/>
            <w:vAlign w:val="center"/>
          </w:tcPr>
          <w:p w14:paraId="0613B6DA">
            <w:pPr>
              <w:pStyle w:val="12"/>
              <w:kinsoku w:val="0"/>
              <w:overflowPunct w:val="0"/>
              <w:spacing w:before="119"/>
              <w:jc w:val="center"/>
            </w:pPr>
            <w:r>
              <w:rPr>
                <w:rFonts w:ascii="仿宋" w:eastAsia="仿宋" w:cs="仿宋"/>
              </w:rPr>
              <w:t>2</w:t>
            </w:r>
          </w:p>
        </w:tc>
        <w:tc>
          <w:tcPr>
            <w:tcW w:w="2783" w:type="dxa"/>
            <w:vAlign w:val="center"/>
          </w:tcPr>
          <w:p w14:paraId="3D5A7DDF">
            <w:pPr>
              <w:pStyle w:val="12"/>
              <w:kinsoku w:val="0"/>
              <w:overflowPunct w:val="0"/>
              <w:spacing w:line="276" w:lineRule="exact"/>
              <w:ind w:right="1"/>
              <w:jc w:val="center"/>
            </w:pPr>
            <w:r>
              <w:rPr>
                <w:rFonts w:hint="eastAsia" w:ascii="仿宋" w:eastAsia="仿宋" w:cs="仿宋"/>
              </w:rPr>
              <w:t>总迁移量（</w:t>
            </w:r>
            <w:r>
              <w:rPr>
                <w:rFonts w:ascii="仿宋" w:eastAsia="仿宋" w:cs="仿宋"/>
              </w:rPr>
              <w:t>50%</w:t>
            </w:r>
            <w:r>
              <w:rPr>
                <w:rFonts w:hint="eastAsia" w:ascii="仿宋" w:eastAsia="仿宋" w:cs="仿宋"/>
              </w:rPr>
              <w:t>乙醇，</w:t>
            </w:r>
            <w:r>
              <w:rPr>
                <w:rFonts w:ascii="仿宋" w:eastAsia="仿宋" w:cs="仿宋"/>
              </w:rPr>
              <w:t>70</w:t>
            </w:r>
            <w:r>
              <w:rPr>
                <w:rFonts w:hint="eastAsia" w:ascii="仿宋" w:eastAsia="仿宋" w:cs="仿宋"/>
              </w:rPr>
              <w:t>℃，</w:t>
            </w:r>
            <w:r>
              <w:rPr>
                <w:rFonts w:ascii="仿宋" w:eastAsia="仿宋" w:cs="仿宋"/>
              </w:rPr>
              <w:t>2h</w:t>
            </w:r>
            <w:r>
              <w:rPr>
                <w:rFonts w:hint="eastAsia" w:ascii="仿宋" w:eastAsia="仿宋" w:cs="仿宋"/>
              </w:rPr>
              <w:t>）</w:t>
            </w:r>
          </w:p>
        </w:tc>
        <w:tc>
          <w:tcPr>
            <w:tcW w:w="2826" w:type="dxa"/>
            <w:vAlign w:val="center"/>
          </w:tcPr>
          <w:p w14:paraId="539BA216">
            <w:pPr>
              <w:snapToGrid w:val="0"/>
              <w:jc w:val="center"/>
              <w:rPr>
                <w:rFonts w:hint="eastAsia" w:ascii="仿宋" w:hAnsi="仿宋" w:eastAsia="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14A60A2D">
            <w:pPr>
              <w:snapToGrid w:val="0"/>
              <w:jc w:val="center"/>
            </w:pPr>
            <w:r>
              <w:rPr>
                <w:rFonts w:hint="eastAsia" w:ascii="仿宋" w:hAnsi="仿宋" w:eastAsia="仿宋"/>
                <w:color w:val="000000"/>
              </w:rPr>
              <w:t>GB 4806.7—2023</w:t>
            </w:r>
          </w:p>
        </w:tc>
        <w:tc>
          <w:tcPr>
            <w:tcW w:w="2761" w:type="dxa"/>
            <w:vAlign w:val="center"/>
          </w:tcPr>
          <w:p w14:paraId="40E10E34">
            <w:pPr>
              <w:pStyle w:val="12"/>
              <w:kinsoku w:val="0"/>
              <w:overflowPunct w:val="0"/>
              <w:spacing w:before="119"/>
              <w:ind w:right="473"/>
              <w:jc w:val="right"/>
            </w:pPr>
            <w:r>
              <w:rPr>
                <w:rFonts w:hint="eastAsia" w:ascii="仿宋" w:hAnsi="仿宋" w:eastAsia="仿宋" w:cs="仿宋"/>
              </w:rPr>
              <w:t>GB 31604.8-2021</w:t>
            </w:r>
          </w:p>
        </w:tc>
      </w:tr>
      <w:tr w14:paraId="586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5" w:type="dxa"/>
            <w:vAlign w:val="center"/>
          </w:tcPr>
          <w:p w14:paraId="0CFBDEBF">
            <w:pPr>
              <w:pStyle w:val="12"/>
              <w:kinsoku w:val="0"/>
              <w:overflowPunct w:val="0"/>
              <w:spacing w:before="34"/>
              <w:jc w:val="center"/>
            </w:pPr>
            <w:r>
              <w:rPr>
                <w:rFonts w:ascii="仿宋" w:eastAsia="仿宋" w:cs="仿宋"/>
              </w:rPr>
              <w:t>3</w:t>
            </w:r>
          </w:p>
        </w:tc>
        <w:tc>
          <w:tcPr>
            <w:tcW w:w="2783" w:type="dxa"/>
            <w:vAlign w:val="center"/>
          </w:tcPr>
          <w:p w14:paraId="359CF784">
            <w:pPr>
              <w:pStyle w:val="12"/>
              <w:kinsoku w:val="0"/>
              <w:overflowPunct w:val="0"/>
              <w:spacing w:before="34"/>
              <w:ind w:right="1"/>
              <w:jc w:val="center"/>
            </w:pPr>
            <w:r>
              <w:rPr>
                <w:rFonts w:hint="eastAsia" w:ascii="仿宋" w:eastAsia="仿宋" w:cs="仿宋"/>
              </w:rPr>
              <w:t>高锰酸钾消耗量</w:t>
            </w:r>
          </w:p>
        </w:tc>
        <w:tc>
          <w:tcPr>
            <w:tcW w:w="2826" w:type="dxa"/>
            <w:vAlign w:val="center"/>
          </w:tcPr>
          <w:p w14:paraId="61D04A48">
            <w:pPr>
              <w:snapToGrid w:val="0"/>
              <w:jc w:val="center"/>
              <w:rPr>
                <w:rFonts w:hint="eastAsia" w:ascii="仿宋" w:hAnsi="仿宋" w:eastAsia="仿宋" w:cs="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0EBEA95D">
            <w:pPr>
              <w:pStyle w:val="12"/>
              <w:kinsoku w:val="0"/>
              <w:overflowPunct w:val="0"/>
              <w:spacing w:before="34"/>
              <w:jc w:val="center"/>
            </w:pPr>
            <w:r>
              <w:rPr>
                <w:rFonts w:hint="eastAsia" w:ascii="仿宋" w:hAnsi="仿宋" w:eastAsia="仿宋" w:cs="仿宋"/>
                <w:color w:val="000000"/>
              </w:rPr>
              <w:t>GB 4806.7—2023</w:t>
            </w:r>
          </w:p>
        </w:tc>
        <w:tc>
          <w:tcPr>
            <w:tcW w:w="2761" w:type="dxa"/>
            <w:vAlign w:val="center"/>
          </w:tcPr>
          <w:p w14:paraId="43741C44">
            <w:pPr>
              <w:pStyle w:val="12"/>
              <w:kinsoku w:val="0"/>
              <w:overflowPunct w:val="0"/>
              <w:spacing w:before="34"/>
              <w:ind w:right="473"/>
              <w:jc w:val="right"/>
            </w:pPr>
            <w:r>
              <w:rPr>
                <w:rFonts w:hint="eastAsia" w:ascii="仿宋" w:hAnsi="仿宋" w:eastAsia="仿宋" w:cs="仿宋"/>
              </w:rPr>
              <w:t>GB 31604.2-2016</w:t>
            </w:r>
          </w:p>
        </w:tc>
      </w:tr>
      <w:tr w14:paraId="5A27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5" w:type="dxa"/>
            <w:vAlign w:val="center"/>
          </w:tcPr>
          <w:p w14:paraId="7275F149">
            <w:pPr>
              <w:pStyle w:val="12"/>
              <w:kinsoku w:val="0"/>
              <w:overflowPunct w:val="0"/>
              <w:spacing w:before="34"/>
              <w:jc w:val="center"/>
            </w:pPr>
            <w:r>
              <w:rPr>
                <w:rFonts w:ascii="仿宋" w:eastAsia="仿宋" w:cs="仿宋"/>
              </w:rPr>
              <w:t>4</w:t>
            </w:r>
          </w:p>
        </w:tc>
        <w:tc>
          <w:tcPr>
            <w:tcW w:w="2783" w:type="dxa"/>
            <w:vAlign w:val="center"/>
          </w:tcPr>
          <w:p w14:paraId="31B6630C">
            <w:pPr>
              <w:pStyle w:val="12"/>
              <w:kinsoku w:val="0"/>
              <w:overflowPunct w:val="0"/>
              <w:spacing w:before="34"/>
              <w:ind w:right="1"/>
              <w:jc w:val="center"/>
            </w:pPr>
            <w:r>
              <w:rPr>
                <w:rFonts w:hint="eastAsia" w:ascii="仿宋" w:eastAsia="仿宋" w:cs="仿宋"/>
              </w:rPr>
              <w:t>重金属（以</w:t>
            </w:r>
            <w:r>
              <w:rPr>
                <w:rFonts w:ascii="仿宋" w:eastAsia="仿宋" w:cs="仿宋"/>
                <w:spacing w:val="-60"/>
              </w:rPr>
              <w:t xml:space="preserve"> </w:t>
            </w:r>
            <w:r>
              <w:rPr>
                <w:rFonts w:ascii="仿宋" w:eastAsia="仿宋" w:cs="仿宋"/>
              </w:rPr>
              <w:t>Pb</w:t>
            </w:r>
            <w:r>
              <w:rPr>
                <w:rFonts w:ascii="仿宋" w:eastAsia="仿宋" w:cs="仿宋"/>
                <w:spacing w:val="-60"/>
              </w:rPr>
              <w:t xml:space="preserve"> </w:t>
            </w:r>
            <w:r>
              <w:rPr>
                <w:rFonts w:hint="eastAsia" w:ascii="仿宋" w:eastAsia="仿宋" w:cs="仿宋"/>
              </w:rPr>
              <w:t>计）</w:t>
            </w:r>
          </w:p>
        </w:tc>
        <w:tc>
          <w:tcPr>
            <w:tcW w:w="2826" w:type="dxa"/>
            <w:vAlign w:val="center"/>
          </w:tcPr>
          <w:p w14:paraId="3D02A1FF">
            <w:pPr>
              <w:snapToGrid w:val="0"/>
              <w:jc w:val="center"/>
              <w:rPr>
                <w:rFonts w:hint="eastAsia" w:ascii="仿宋" w:hAnsi="仿宋" w:eastAsia="仿宋" w:cs="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290D76ED">
            <w:pPr>
              <w:pStyle w:val="12"/>
              <w:kinsoku w:val="0"/>
              <w:overflowPunct w:val="0"/>
              <w:spacing w:before="34"/>
              <w:jc w:val="center"/>
            </w:pPr>
            <w:r>
              <w:rPr>
                <w:rFonts w:hint="eastAsia" w:ascii="仿宋" w:hAnsi="仿宋" w:eastAsia="仿宋" w:cs="仿宋"/>
                <w:color w:val="000000"/>
              </w:rPr>
              <w:t>GB 4806.7—2023</w:t>
            </w:r>
          </w:p>
        </w:tc>
        <w:tc>
          <w:tcPr>
            <w:tcW w:w="2761" w:type="dxa"/>
            <w:vAlign w:val="center"/>
          </w:tcPr>
          <w:p w14:paraId="049819EC">
            <w:pPr>
              <w:pStyle w:val="12"/>
              <w:kinsoku w:val="0"/>
              <w:overflowPunct w:val="0"/>
              <w:spacing w:before="34"/>
              <w:ind w:right="473"/>
              <w:jc w:val="right"/>
            </w:pPr>
            <w:r>
              <w:rPr>
                <w:rFonts w:hint="eastAsia" w:ascii="仿宋" w:hAnsi="仿宋" w:eastAsia="仿宋" w:cs="仿宋"/>
              </w:rPr>
              <w:t>GB 31604.9-2016</w:t>
            </w:r>
          </w:p>
        </w:tc>
      </w:tr>
      <w:tr w14:paraId="760B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5" w:type="dxa"/>
            <w:vAlign w:val="center"/>
          </w:tcPr>
          <w:p w14:paraId="2CCC01F4">
            <w:pPr>
              <w:pStyle w:val="12"/>
              <w:kinsoku w:val="0"/>
              <w:overflowPunct w:val="0"/>
              <w:spacing w:before="158"/>
              <w:jc w:val="center"/>
            </w:pPr>
            <w:r>
              <w:rPr>
                <w:rFonts w:ascii="仿宋" w:eastAsia="仿宋" w:cs="仿宋"/>
              </w:rPr>
              <w:t>5</w:t>
            </w:r>
          </w:p>
        </w:tc>
        <w:tc>
          <w:tcPr>
            <w:tcW w:w="2783" w:type="dxa"/>
            <w:vAlign w:val="center"/>
          </w:tcPr>
          <w:p w14:paraId="2973AB3C">
            <w:pPr>
              <w:pStyle w:val="12"/>
              <w:kinsoku w:val="0"/>
              <w:overflowPunct w:val="0"/>
              <w:spacing w:before="158"/>
              <w:ind w:right="1"/>
              <w:jc w:val="center"/>
            </w:pPr>
            <w:r>
              <w:rPr>
                <w:rFonts w:hint="eastAsia" w:ascii="仿宋" w:eastAsia="仿宋" w:cs="仿宋"/>
              </w:rPr>
              <w:t>脱色试验</w:t>
            </w:r>
          </w:p>
        </w:tc>
        <w:tc>
          <w:tcPr>
            <w:tcW w:w="2826" w:type="dxa"/>
            <w:vAlign w:val="center"/>
          </w:tcPr>
          <w:p w14:paraId="557CDC1C">
            <w:pPr>
              <w:snapToGrid w:val="0"/>
              <w:jc w:val="center"/>
              <w:rPr>
                <w:rFonts w:hint="eastAsia" w:ascii="仿宋" w:hAnsi="仿宋" w:eastAsia="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32150AAB">
            <w:pPr>
              <w:snapToGrid w:val="0"/>
              <w:jc w:val="center"/>
            </w:pPr>
            <w:r>
              <w:rPr>
                <w:rFonts w:hint="eastAsia" w:ascii="仿宋" w:hAnsi="仿宋" w:eastAsia="仿宋"/>
                <w:color w:val="000000"/>
              </w:rPr>
              <w:t>GB 4806.7—2023</w:t>
            </w:r>
          </w:p>
        </w:tc>
        <w:tc>
          <w:tcPr>
            <w:tcW w:w="2761" w:type="dxa"/>
            <w:vAlign w:val="center"/>
          </w:tcPr>
          <w:p w14:paraId="6C471C8F">
            <w:pPr>
              <w:spacing w:line="320" w:lineRule="exact"/>
              <w:jc w:val="center"/>
              <w:rPr>
                <w:rFonts w:hint="eastAsia" w:ascii="仿宋" w:hAnsi="仿宋" w:eastAsia="仿宋" w:cs="仿宋"/>
              </w:rPr>
            </w:pPr>
            <w:r>
              <w:rPr>
                <w:rFonts w:hint="eastAsia" w:ascii="仿宋" w:hAnsi="仿宋" w:eastAsia="仿宋" w:cs="仿宋"/>
              </w:rPr>
              <w:t>GB 31604.7-2016</w:t>
            </w:r>
          </w:p>
          <w:p w14:paraId="7F1F7D00">
            <w:pPr>
              <w:pStyle w:val="12"/>
              <w:kinsoku w:val="0"/>
              <w:overflowPunct w:val="0"/>
              <w:spacing w:before="158"/>
              <w:ind w:right="473"/>
              <w:jc w:val="right"/>
            </w:pPr>
            <w:r>
              <w:rPr>
                <w:rFonts w:hint="eastAsia" w:ascii="仿宋" w:hAnsi="仿宋" w:eastAsia="仿宋" w:cs="仿宋"/>
              </w:rPr>
              <w:t>GB 31604.7-2023</w:t>
            </w:r>
          </w:p>
        </w:tc>
      </w:tr>
    </w:tbl>
    <w:p w14:paraId="2F9338D8">
      <w:pPr>
        <w:sectPr>
          <w:type w:val="continuous"/>
          <w:pgSz w:w="11910" w:h="16840"/>
          <w:pgMar w:top="1480" w:right="1240" w:bottom="280" w:left="1300" w:header="720" w:footer="720" w:gutter="0"/>
          <w:cols w:space="720" w:num="1"/>
        </w:sectPr>
      </w:pP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783"/>
        <w:gridCol w:w="2826"/>
        <w:gridCol w:w="2761"/>
      </w:tblGrid>
      <w:tr w14:paraId="1698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trPr>
        <w:tc>
          <w:tcPr>
            <w:tcW w:w="765" w:type="dxa"/>
            <w:vAlign w:val="center"/>
          </w:tcPr>
          <w:p w14:paraId="3DF88B37">
            <w:pPr>
              <w:pStyle w:val="12"/>
              <w:kinsoku w:val="0"/>
              <w:overflowPunct w:val="0"/>
              <w:spacing w:before="119"/>
              <w:jc w:val="center"/>
            </w:pPr>
            <w:r>
              <w:rPr>
                <w:rFonts w:ascii="仿宋" w:eastAsia="仿宋" w:cs="仿宋"/>
              </w:rPr>
              <w:t>6</w:t>
            </w:r>
          </w:p>
        </w:tc>
        <w:tc>
          <w:tcPr>
            <w:tcW w:w="2783" w:type="dxa"/>
            <w:vAlign w:val="center"/>
          </w:tcPr>
          <w:p w14:paraId="0301812B">
            <w:pPr>
              <w:pStyle w:val="12"/>
              <w:kinsoku w:val="0"/>
              <w:overflowPunct w:val="0"/>
              <w:spacing w:line="276" w:lineRule="exact"/>
              <w:ind w:left="185"/>
              <w:rPr>
                <w:rFonts w:ascii="仿宋" w:eastAsia="仿宋" w:cs="仿宋"/>
              </w:rPr>
            </w:pPr>
            <w:r>
              <w:rPr>
                <w:rFonts w:hint="eastAsia" w:ascii="仿宋" w:eastAsia="仿宋" w:cs="仿宋"/>
              </w:rPr>
              <w:t>特定迁移量（以锑计）</w:t>
            </w:r>
          </w:p>
          <w:p w14:paraId="6BC50D55">
            <w:pPr>
              <w:pStyle w:val="12"/>
              <w:kinsoku w:val="0"/>
              <w:overflowPunct w:val="0"/>
              <w:spacing w:line="313" w:lineRule="exact"/>
              <w:ind w:left="101" w:right="-17"/>
            </w:pPr>
            <w:r>
              <w:rPr>
                <w:rFonts w:hint="eastAsia" w:ascii="仿宋" w:eastAsia="仿宋" w:cs="仿宋"/>
                <w:spacing w:val="-12"/>
              </w:rPr>
              <w:t>（</w:t>
            </w:r>
            <w:r>
              <w:rPr>
                <w:rFonts w:ascii="仿宋" w:eastAsia="仿宋" w:cs="仿宋"/>
                <w:spacing w:val="-12"/>
              </w:rPr>
              <w:t>50%</w:t>
            </w:r>
            <w:r>
              <w:rPr>
                <w:rFonts w:hint="eastAsia" w:ascii="仿宋" w:eastAsia="仿宋" w:cs="仿宋"/>
                <w:spacing w:val="-12"/>
              </w:rPr>
              <w:t>乙醇，</w:t>
            </w:r>
            <w:r>
              <w:rPr>
                <w:rFonts w:ascii="仿宋" w:eastAsia="仿宋" w:cs="仿宋"/>
                <w:spacing w:val="-12"/>
              </w:rPr>
              <w:t>100</w:t>
            </w:r>
            <w:r>
              <w:rPr>
                <w:rFonts w:hint="eastAsia" w:ascii="仿宋" w:eastAsia="仿宋" w:cs="仿宋"/>
                <w:spacing w:val="-12"/>
              </w:rPr>
              <w:t>℃，</w:t>
            </w:r>
            <w:r>
              <w:rPr>
                <w:rFonts w:ascii="仿宋" w:eastAsia="仿宋" w:cs="仿宋"/>
                <w:spacing w:val="-12"/>
              </w:rPr>
              <w:t>0.5h</w:t>
            </w:r>
            <w:r>
              <w:rPr>
                <w:rFonts w:hint="eastAsia" w:ascii="仿宋" w:eastAsia="仿宋" w:cs="仿宋"/>
                <w:spacing w:val="-12"/>
              </w:rPr>
              <w:t>）</w:t>
            </w:r>
          </w:p>
        </w:tc>
        <w:tc>
          <w:tcPr>
            <w:tcW w:w="2826" w:type="dxa"/>
            <w:vAlign w:val="center"/>
          </w:tcPr>
          <w:p w14:paraId="019D775D">
            <w:pPr>
              <w:snapToGrid w:val="0"/>
              <w:jc w:val="center"/>
              <w:rPr>
                <w:rFonts w:hint="eastAsia" w:ascii="仿宋" w:hAnsi="仿宋" w:eastAsia="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10F8CA2F">
            <w:pPr>
              <w:snapToGrid w:val="0"/>
              <w:jc w:val="center"/>
            </w:pPr>
            <w:r>
              <w:rPr>
                <w:rFonts w:hint="eastAsia" w:ascii="仿宋" w:hAnsi="仿宋" w:eastAsia="仿宋"/>
                <w:color w:val="000000"/>
              </w:rPr>
              <w:t>GB 4806.7—2023</w:t>
            </w:r>
          </w:p>
        </w:tc>
        <w:tc>
          <w:tcPr>
            <w:tcW w:w="2761" w:type="dxa"/>
            <w:vAlign w:val="center"/>
          </w:tcPr>
          <w:p w14:paraId="337124AC">
            <w:pPr>
              <w:pStyle w:val="12"/>
              <w:kinsoku w:val="0"/>
              <w:overflowPunct w:val="0"/>
              <w:spacing w:before="119"/>
              <w:ind w:right="413"/>
              <w:jc w:val="right"/>
            </w:pPr>
            <w:r>
              <w:rPr>
                <w:rFonts w:ascii="仿宋" w:eastAsia="仿宋" w:cs="仿宋"/>
              </w:rPr>
              <w:t>GB 31604.41-2016</w:t>
            </w:r>
          </w:p>
        </w:tc>
      </w:tr>
      <w:tr w14:paraId="6FA4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765" w:type="dxa"/>
            <w:vAlign w:val="center"/>
          </w:tcPr>
          <w:p w14:paraId="7BBC30B6">
            <w:pPr>
              <w:pStyle w:val="12"/>
              <w:kinsoku w:val="0"/>
              <w:overflowPunct w:val="0"/>
              <w:jc w:val="center"/>
            </w:pPr>
            <w:r>
              <w:rPr>
                <w:rFonts w:ascii="仿宋" w:eastAsia="仿宋" w:cs="仿宋"/>
              </w:rPr>
              <w:t>7</w:t>
            </w:r>
          </w:p>
        </w:tc>
        <w:tc>
          <w:tcPr>
            <w:tcW w:w="2783" w:type="dxa"/>
            <w:vAlign w:val="center"/>
          </w:tcPr>
          <w:p w14:paraId="7DA5BFB8">
            <w:pPr>
              <w:pStyle w:val="12"/>
              <w:kinsoku w:val="0"/>
              <w:overflowPunct w:val="0"/>
              <w:spacing w:line="276" w:lineRule="exact"/>
              <w:ind w:right="1"/>
              <w:jc w:val="center"/>
              <w:rPr>
                <w:rFonts w:ascii="仿宋" w:eastAsia="仿宋" w:cs="仿宋"/>
              </w:rPr>
            </w:pPr>
            <w:r>
              <w:rPr>
                <w:rFonts w:hint="eastAsia" w:ascii="仿宋" w:eastAsia="仿宋" w:cs="仿宋"/>
              </w:rPr>
              <w:t>特定迁移总量</w:t>
            </w:r>
          </w:p>
          <w:p w14:paraId="5AB8F957">
            <w:pPr>
              <w:pStyle w:val="12"/>
              <w:kinsoku w:val="0"/>
              <w:overflowPunct w:val="0"/>
              <w:spacing w:line="312" w:lineRule="exact"/>
              <w:ind w:right="1"/>
              <w:jc w:val="center"/>
              <w:rPr>
                <w:rFonts w:ascii="仿宋" w:eastAsia="仿宋" w:cs="仿宋"/>
              </w:rPr>
            </w:pPr>
            <w:r>
              <w:rPr>
                <w:rFonts w:hint="eastAsia" w:ascii="仿宋" w:eastAsia="仿宋" w:cs="仿宋"/>
              </w:rPr>
              <w:t>（以对苯二甲酸计）</w:t>
            </w:r>
          </w:p>
          <w:p w14:paraId="0542766B">
            <w:pPr>
              <w:pStyle w:val="12"/>
              <w:kinsoku w:val="0"/>
              <w:overflowPunct w:val="0"/>
              <w:spacing w:line="313" w:lineRule="exact"/>
              <w:ind w:left="101" w:right="-17"/>
              <w:jc w:val="center"/>
            </w:pPr>
            <w:r>
              <w:rPr>
                <w:rFonts w:hint="eastAsia" w:ascii="仿宋" w:eastAsia="仿宋" w:cs="仿宋"/>
                <w:spacing w:val="-12"/>
              </w:rPr>
              <w:t>（</w:t>
            </w:r>
            <w:r>
              <w:rPr>
                <w:rFonts w:ascii="仿宋" w:eastAsia="仿宋" w:cs="仿宋"/>
                <w:spacing w:val="-12"/>
              </w:rPr>
              <w:t>50%</w:t>
            </w:r>
            <w:r>
              <w:rPr>
                <w:rFonts w:hint="eastAsia" w:ascii="仿宋" w:eastAsia="仿宋" w:cs="仿宋"/>
                <w:spacing w:val="-12"/>
              </w:rPr>
              <w:t>乙醇，</w:t>
            </w:r>
            <w:r>
              <w:rPr>
                <w:rFonts w:ascii="仿宋" w:eastAsia="仿宋" w:cs="仿宋"/>
                <w:spacing w:val="-12"/>
              </w:rPr>
              <w:t>100</w:t>
            </w:r>
            <w:r>
              <w:rPr>
                <w:rFonts w:hint="eastAsia" w:ascii="仿宋" w:eastAsia="仿宋" w:cs="仿宋"/>
                <w:spacing w:val="-12"/>
              </w:rPr>
              <w:t>℃，</w:t>
            </w:r>
            <w:r>
              <w:rPr>
                <w:rFonts w:ascii="仿宋" w:eastAsia="仿宋" w:cs="仿宋"/>
                <w:spacing w:val="-12"/>
              </w:rPr>
              <w:t>0.5h</w:t>
            </w:r>
            <w:r>
              <w:rPr>
                <w:rFonts w:hint="eastAsia" w:ascii="仿宋" w:eastAsia="仿宋" w:cs="仿宋"/>
                <w:spacing w:val="-12"/>
              </w:rPr>
              <w:t>）</w:t>
            </w:r>
          </w:p>
        </w:tc>
        <w:tc>
          <w:tcPr>
            <w:tcW w:w="2826" w:type="dxa"/>
            <w:vAlign w:val="center"/>
          </w:tcPr>
          <w:p w14:paraId="61C5AB5B">
            <w:pPr>
              <w:snapToGrid w:val="0"/>
              <w:jc w:val="center"/>
              <w:rPr>
                <w:rFonts w:hint="eastAsia" w:ascii="仿宋" w:hAnsi="仿宋" w:eastAsia="仿宋" w:cs="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774B9CA5">
            <w:pPr>
              <w:pStyle w:val="12"/>
              <w:kinsoku w:val="0"/>
              <w:overflowPunct w:val="0"/>
              <w:jc w:val="center"/>
            </w:pPr>
            <w:r>
              <w:rPr>
                <w:rFonts w:hint="eastAsia" w:ascii="仿宋" w:hAnsi="仿宋" w:eastAsia="仿宋" w:cs="仿宋"/>
                <w:color w:val="000000"/>
              </w:rPr>
              <w:t>GB 4806.7—2023</w:t>
            </w:r>
          </w:p>
        </w:tc>
        <w:tc>
          <w:tcPr>
            <w:tcW w:w="2761" w:type="dxa"/>
            <w:vAlign w:val="center"/>
          </w:tcPr>
          <w:p w14:paraId="2AC556EF">
            <w:pPr>
              <w:pStyle w:val="12"/>
              <w:kinsoku w:val="0"/>
              <w:overflowPunct w:val="0"/>
              <w:ind w:right="413"/>
              <w:jc w:val="right"/>
            </w:pPr>
            <w:r>
              <w:rPr>
                <w:rFonts w:ascii="仿宋" w:eastAsia="仿宋" w:cs="仿宋"/>
              </w:rPr>
              <w:t>GB 31604.21-2016</w:t>
            </w:r>
          </w:p>
        </w:tc>
      </w:tr>
      <w:tr w14:paraId="085C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765" w:type="dxa"/>
            <w:vAlign w:val="center"/>
          </w:tcPr>
          <w:p w14:paraId="2400191F">
            <w:pPr>
              <w:pStyle w:val="12"/>
              <w:kinsoku w:val="0"/>
              <w:overflowPunct w:val="0"/>
              <w:jc w:val="center"/>
            </w:pPr>
            <w:r>
              <w:rPr>
                <w:rFonts w:ascii="仿宋" w:eastAsia="仿宋" w:cs="仿宋"/>
              </w:rPr>
              <w:t>8</w:t>
            </w:r>
          </w:p>
        </w:tc>
        <w:tc>
          <w:tcPr>
            <w:tcW w:w="2783" w:type="dxa"/>
            <w:vAlign w:val="center"/>
          </w:tcPr>
          <w:p w14:paraId="32D08950">
            <w:pPr>
              <w:pStyle w:val="12"/>
              <w:kinsoku w:val="0"/>
              <w:overflowPunct w:val="0"/>
              <w:spacing w:line="275" w:lineRule="exact"/>
              <w:ind w:right="1"/>
              <w:jc w:val="center"/>
              <w:rPr>
                <w:rFonts w:ascii="仿宋" w:eastAsia="仿宋" w:cs="仿宋"/>
              </w:rPr>
            </w:pPr>
            <w:r>
              <w:rPr>
                <w:rFonts w:hint="eastAsia" w:ascii="仿宋" w:eastAsia="仿宋" w:cs="仿宋"/>
              </w:rPr>
              <w:t>特定迁移总量</w:t>
            </w:r>
          </w:p>
          <w:p w14:paraId="05308DBE">
            <w:pPr>
              <w:pStyle w:val="12"/>
              <w:kinsoku w:val="0"/>
              <w:overflowPunct w:val="0"/>
              <w:spacing w:line="312" w:lineRule="exact"/>
              <w:ind w:right="1"/>
              <w:jc w:val="center"/>
              <w:rPr>
                <w:rFonts w:ascii="仿宋" w:eastAsia="仿宋" w:cs="仿宋"/>
              </w:rPr>
            </w:pPr>
            <w:r>
              <w:rPr>
                <w:rFonts w:hint="eastAsia" w:ascii="仿宋" w:eastAsia="仿宋" w:cs="仿宋"/>
              </w:rPr>
              <w:t>（以乙二醇计）</w:t>
            </w:r>
          </w:p>
          <w:p w14:paraId="32BA7709">
            <w:pPr>
              <w:pStyle w:val="12"/>
              <w:kinsoku w:val="0"/>
              <w:overflowPunct w:val="0"/>
              <w:spacing w:line="313" w:lineRule="exact"/>
              <w:ind w:left="101" w:right="-17"/>
              <w:jc w:val="center"/>
            </w:pPr>
            <w:r>
              <w:rPr>
                <w:rFonts w:hint="eastAsia" w:ascii="仿宋" w:eastAsia="仿宋" w:cs="仿宋"/>
                <w:spacing w:val="-12"/>
              </w:rPr>
              <w:t>（</w:t>
            </w:r>
            <w:r>
              <w:rPr>
                <w:rFonts w:ascii="仿宋" w:eastAsia="仿宋" w:cs="仿宋"/>
                <w:spacing w:val="-12"/>
              </w:rPr>
              <w:t>50%</w:t>
            </w:r>
            <w:r>
              <w:rPr>
                <w:rFonts w:hint="eastAsia" w:ascii="仿宋" w:eastAsia="仿宋" w:cs="仿宋"/>
                <w:spacing w:val="-12"/>
              </w:rPr>
              <w:t>乙醇，</w:t>
            </w:r>
            <w:r>
              <w:rPr>
                <w:rFonts w:ascii="仿宋" w:eastAsia="仿宋" w:cs="仿宋"/>
                <w:spacing w:val="-12"/>
              </w:rPr>
              <w:t>100</w:t>
            </w:r>
            <w:r>
              <w:rPr>
                <w:rFonts w:hint="eastAsia" w:ascii="仿宋" w:eastAsia="仿宋" w:cs="仿宋"/>
                <w:spacing w:val="-12"/>
              </w:rPr>
              <w:t>℃，</w:t>
            </w:r>
            <w:r>
              <w:rPr>
                <w:rFonts w:ascii="仿宋" w:eastAsia="仿宋" w:cs="仿宋"/>
                <w:spacing w:val="-12"/>
              </w:rPr>
              <w:t>0.5h</w:t>
            </w:r>
            <w:r>
              <w:rPr>
                <w:rFonts w:hint="eastAsia" w:ascii="仿宋" w:eastAsia="仿宋" w:cs="仿宋"/>
                <w:spacing w:val="-12"/>
              </w:rPr>
              <w:t>）</w:t>
            </w:r>
          </w:p>
        </w:tc>
        <w:tc>
          <w:tcPr>
            <w:tcW w:w="2826" w:type="dxa"/>
            <w:vAlign w:val="center"/>
          </w:tcPr>
          <w:p w14:paraId="367552E9">
            <w:pPr>
              <w:snapToGrid w:val="0"/>
              <w:jc w:val="center"/>
              <w:rPr>
                <w:rFonts w:hint="eastAsia" w:ascii="仿宋" w:hAnsi="仿宋" w:eastAsia="仿宋" w:cs="仿宋"/>
                <w:color w:val="000000"/>
              </w:rPr>
            </w:pPr>
            <w:r>
              <w:rPr>
                <w:rFonts w:ascii="仿宋" w:hAnsi="仿宋" w:eastAsia="仿宋"/>
                <w:color w:val="000000"/>
              </w:rPr>
              <w:t>GB 4806.7</w:t>
            </w:r>
            <w:r>
              <w:rPr>
                <w:rFonts w:hint="eastAsia" w:ascii="仿宋" w:hAnsi="仿宋" w:eastAsia="仿宋"/>
                <w:color w:val="000000"/>
              </w:rPr>
              <w:t>—</w:t>
            </w:r>
            <w:r>
              <w:rPr>
                <w:rFonts w:ascii="仿宋" w:hAnsi="仿宋" w:eastAsia="仿宋"/>
                <w:color w:val="000000"/>
              </w:rPr>
              <w:t xml:space="preserve">2016 </w:t>
            </w:r>
          </w:p>
          <w:p w14:paraId="4DFA88CA">
            <w:pPr>
              <w:pStyle w:val="12"/>
              <w:kinsoku w:val="0"/>
              <w:overflowPunct w:val="0"/>
              <w:jc w:val="center"/>
            </w:pPr>
            <w:r>
              <w:rPr>
                <w:rFonts w:hint="eastAsia" w:ascii="仿宋" w:hAnsi="仿宋" w:eastAsia="仿宋" w:cs="仿宋"/>
                <w:color w:val="000000"/>
              </w:rPr>
              <w:t>GB 4806.7—2023</w:t>
            </w:r>
          </w:p>
        </w:tc>
        <w:tc>
          <w:tcPr>
            <w:tcW w:w="2761" w:type="dxa"/>
            <w:vAlign w:val="center"/>
          </w:tcPr>
          <w:p w14:paraId="1F5E868D">
            <w:pPr>
              <w:pStyle w:val="12"/>
              <w:kinsoku w:val="0"/>
              <w:overflowPunct w:val="0"/>
              <w:ind w:right="413"/>
              <w:jc w:val="right"/>
            </w:pPr>
            <w:r>
              <w:rPr>
                <w:rFonts w:ascii="仿宋" w:eastAsia="仿宋" w:cs="仿宋"/>
              </w:rPr>
              <w:t>GB 31604.44-2016</w:t>
            </w:r>
          </w:p>
        </w:tc>
      </w:tr>
      <w:tr w14:paraId="325E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765" w:type="dxa"/>
            <w:vAlign w:val="center"/>
          </w:tcPr>
          <w:p w14:paraId="60EF149C">
            <w:pPr>
              <w:pStyle w:val="12"/>
              <w:kinsoku w:val="0"/>
              <w:overflowPunct w:val="0"/>
              <w:jc w:val="center"/>
              <w:rPr>
                <w:rFonts w:ascii="仿宋" w:eastAsia="仿宋" w:cs="仿宋"/>
              </w:rPr>
            </w:pPr>
            <w:r>
              <w:rPr>
                <w:rFonts w:hint="eastAsia" w:ascii="仿宋" w:eastAsia="仿宋" w:cs="仿宋"/>
              </w:rPr>
              <w:t>9</w:t>
            </w:r>
          </w:p>
        </w:tc>
        <w:tc>
          <w:tcPr>
            <w:tcW w:w="2783" w:type="dxa"/>
            <w:vAlign w:val="center"/>
          </w:tcPr>
          <w:p w14:paraId="4EF695E3">
            <w:pPr>
              <w:pStyle w:val="12"/>
              <w:kinsoku w:val="0"/>
              <w:overflowPunct w:val="0"/>
              <w:spacing w:line="275" w:lineRule="exact"/>
              <w:ind w:right="1"/>
              <w:jc w:val="center"/>
              <w:rPr>
                <w:rFonts w:ascii="仿宋" w:eastAsia="仿宋" w:cs="仿宋"/>
              </w:rPr>
            </w:pPr>
            <w:r>
              <w:rPr>
                <w:rFonts w:hint="eastAsia" w:ascii="仿宋" w:hAnsi="仿宋" w:eastAsia="仿宋" w:cs="仿宋"/>
                <w:color w:val="000000"/>
                <w:lang w:val="pt-BR"/>
              </w:rPr>
              <w:t>芳香族伯胺迁移总量</w:t>
            </w:r>
          </w:p>
        </w:tc>
        <w:tc>
          <w:tcPr>
            <w:tcW w:w="2826" w:type="dxa"/>
            <w:vAlign w:val="center"/>
          </w:tcPr>
          <w:p w14:paraId="64E110E9">
            <w:pPr>
              <w:snapToGrid w:val="0"/>
              <w:jc w:val="center"/>
              <w:rPr>
                <w:rFonts w:hint="eastAsia" w:ascii="仿宋" w:hAnsi="仿宋" w:eastAsia="仿宋"/>
                <w:color w:val="000000"/>
              </w:rPr>
            </w:pPr>
            <w:r>
              <w:rPr>
                <w:rFonts w:hint="eastAsia" w:ascii="仿宋" w:hAnsi="仿宋" w:eastAsia="仿宋" w:cs="仿宋"/>
                <w:color w:val="000000"/>
              </w:rPr>
              <w:t>GB 4806.7—2023</w:t>
            </w:r>
          </w:p>
        </w:tc>
        <w:tc>
          <w:tcPr>
            <w:tcW w:w="2761" w:type="dxa"/>
            <w:vAlign w:val="center"/>
          </w:tcPr>
          <w:p w14:paraId="2952A69E">
            <w:pPr>
              <w:widowControl/>
              <w:snapToGrid w:val="0"/>
              <w:jc w:val="center"/>
              <w:rPr>
                <w:rFonts w:hint="eastAsia" w:ascii="仿宋" w:hAnsi="仿宋" w:eastAsia="仿宋" w:cs="仿宋"/>
                <w:color w:val="000000"/>
              </w:rPr>
            </w:pPr>
            <w:r>
              <w:rPr>
                <w:rFonts w:ascii="仿宋" w:hAnsi="仿宋" w:eastAsia="仿宋" w:cs="仿宋"/>
                <w:color w:val="000000"/>
              </w:rPr>
              <w:t>GB 4806.7</w:t>
            </w:r>
            <w:r>
              <w:rPr>
                <w:rFonts w:hint="eastAsia" w:ascii="仿宋" w:hAnsi="仿宋" w:eastAsia="仿宋" w:cs="仿宋"/>
                <w:color w:val="000000"/>
              </w:rPr>
              <w:t>—</w:t>
            </w:r>
            <w:r>
              <w:rPr>
                <w:rFonts w:ascii="仿宋" w:hAnsi="仿宋" w:eastAsia="仿宋" w:cs="仿宋"/>
                <w:color w:val="000000"/>
              </w:rPr>
              <w:t>2023</w:t>
            </w:r>
          </w:p>
          <w:p w14:paraId="62CECB6C">
            <w:pPr>
              <w:widowControl/>
              <w:snapToGrid w:val="0"/>
              <w:jc w:val="center"/>
              <w:rPr>
                <w:rFonts w:ascii="仿宋" w:eastAsia="仿宋" w:cs="仿宋"/>
              </w:rPr>
            </w:pPr>
            <w:r>
              <w:rPr>
                <w:rFonts w:ascii="仿宋" w:hAnsi="仿宋" w:eastAsia="仿宋" w:cs="仿宋"/>
                <w:color w:val="000000"/>
                <w:lang w:val="pt-BR"/>
              </w:rPr>
              <w:t>GB 31604.52</w:t>
            </w:r>
            <w:r>
              <w:rPr>
                <w:rFonts w:hint="eastAsia" w:ascii="仿宋" w:hAnsi="仿宋" w:eastAsia="仿宋" w:cs="仿宋"/>
                <w:color w:val="000000"/>
              </w:rPr>
              <w:t>—</w:t>
            </w:r>
            <w:r>
              <w:rPr>
                <w:rFonts w:ascii="仿宋" w:hAnsi="仿宋" w:eastAsia="仿宋" w:cs="仿宋"/>
                <w:color w:val="000000"/>
                <w:lang w:val="pt-BR"/>
              </w:rPr>
              <w:t>2021</w:t>
            </w:r>
          </w:p>
        </w:tc>
      </w:tr>
      <w:tr w14:paraId="2A56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9" w:hRule="exact"/>
        </w:trPr>
        <w:tc>
          <w:tcPr>
            <w:tcW w:w="9135" w:type="dxa"/>
            <w:gridSpan w:val="4"/>
            <w:vAlign w:val="center"/>
          </w:tcPr>
          <w:p w14:paraId="7922D317">
            <w:pPr>
              <w:pStyle w:val="12"/>
              <w:kinsoku w:val="0"/>
              <w:overflowPunct w:val="0"/>
              <w:spacing w:line="275" w:lineRule="exact"/>
              <w:ind w:left="103"/>
              <w:rPr>
                <w:rFonts w:ascii="仿宋" w:eastAsia="仿宋" w:cs="仿宋"/>
              </w:rPr>
            </w:pPr>
            <w:r>
              <w:rPr>
                <w:rFonts w:hint="eastAsia" w:ascii="仿宋" w:eastAsia="仿宋" w:cs="仿宋"/>
              </w:rPr>
              <w:t>备注：</w:t>
            </w:r>
          </w:p>
          <w:p w14:paraId="4809033B">
            <w:pPr>
              <w:pStyle w:val="12"/>
              <w:kinsoku w:val="0"/>
              <w:overflowPunct w:val="0"/>
              <w:spacing w:line="312" w:lineRule="exact"/>
              <w:ind w:left="103"/>
              <w:rPr>
                <w:rFonts w:ascii="仿宋" w:eastAsia="仿宋" w:cs="仿宋"/>
              </w:rPr>
            </w:pPr>
            <w:r>
              <w:rPr>
                <w:rFonts w:ascii="仿宋" w:eastAsia="仿宋" w:cs="仿宋"/>
              </w:rPr>
              <w:t>1.</w:t>
            </w:r>
            <w:r>
              <w:rPr>
                <w:rFonts w:hint="eastAsia" w:ascii="仿宋" w:eastAsia="仿宋" w:cs="仿宋"/>
              </w:rPr>
              <w:t>总迁移量（</w:t>
            </w:r>
            <w:r>
              <w:rPr>
                <w:rFonts w:ascii="仿宋" w:eastAsia="仿宋" w:cs="仿宋"/>
              </w:rPr>
              <w:t>50%</w:t>
            </w:r>
            <w:r>
              <w:rPr>
                <w:rFonts w:hint="eastAsia" w:ascii="仿宋" w:eastAsia="仿宋" w:cs="仿宋"/>
              </w:rPr>
              <w:t>乙醇，</w:t>
            </w:r>
            <w:r>
              <w:rPr>
                <w:rFonts w:ascii="仿宋" w:eastAsia="仿宋" w:cs="仿宋"/>
              </w:rPr>
              <w:t>70</w:t>
            </w:r>
            <w:r>
              <w:rPr>
                <w:rFonts w:hint="eastAsia" w:ascii="仿宋" w:eastAsia="仿宋" w:cs="仿宋"/>
              </w:rPr>
              <w:t>℃，</w:t>
            </w:r>
            <w:r>
              <w:rPr>
                <w:rFonts w:ascii="仿宋" w:eastAsia="仿宋" w:cs="仿宋"/>
              </w:rPr>
              <w:t>2h</w:t>
            </w:r>
            <w:r>
              <w:rPr>
                <w:rFonts w:hint="eastAsia" w:ascii="仿宋" w:eastAsia="仿宋" w:cs="仿宋"/>
              </w:rPr>
              <w:t>）项目重复浸泡三次，取最后一次检测结果；</w:t>
            </w:r>
          </w:p>
          <w:p w14:paraId="1CCDBB3D">
            <w:pPr>
              <w:pStyle w:val="12"/>
              <w:kinsoku w:val="0"/>
              <w:overflowPunct w:val="0"/>
              <w:spacing w:line="312" w:lineRule="exact"/>
              <w:ind w:left="103"/>
              <w:rPr>
                <w:rFonts w:ascii="仿宋" w:eastAsia="仿宋" w:cs="仿宋"/>
              </w:rPr>
            </w:pPr>
            <w:r>
              <w:rPr>
                <w:rFonts w:ascii="仿宋" w:eastAsia="仿宋" w:cs="仿宋"/>
              </w:rPr>
              <w:t>2.</w:t>
            </w:r>
            <w:r>
              <w:rPr>
                <w:rFonts w:hint="eastAsia" w:ascii="仿宋" w:eastAsia="仿宋" w:cs="仿宋"/>
              </w:rPr>
              <w:t>脱色试验项目适用于添加了着色剂的产品；</w:t>
            </w:r>
          </w:p>
          <w:p w14:paraId="1B94CD9B">
            <w:pPr>
              <w:pStyle w:val="12"/>
              <w:kinsoku w:val="0"/>
              <w:overflowPunct w:val="0"/>
              <w:spacing w:before="29" w:line="312" w:lineRule="exact"/>
              <w:ind w:left="103" w:right="19"/>
              <w:rPr>
                <w:rFonts w:ascii="仿宋" w:eastAsia="仿宋" w:cs="仿宋"/>
              </w:rPr>
            </w:pPr>
            <w:r>
              <w:rPr>
                <w:rFonts w:ascii="仿宋" w:eastAsia="仿宋" w:cs="仿宋"/>
              </w:rPr>
              <w:t>3.</w:t>
            </w:r>
            <w:r>
              <w:rPr>
                <w:rFonts w:hint="eastAsia" w:ascii="仿宋" w:eastAsia="仿宋" w:cs="仿宋"/>
              </w:rPr>
              <w:t>特定迁移量（以锑计）（</w:t>
            </w:r>
            <w:r>
              <w:rPr>
                <w:rFonts w:ascii="仿宋" w:eastAsia="仿宋" w:cs="仿宋"/>
              </w:rPr>
              <w:t>50%</w:t>
            </w:r>
            <w:r>
              <w:rPr>
                <w:rFonts w:hint="eastAsia" w:ascii="仿宋" w:eastAsia="仿宋" w:cs="仿宋"/>
              </w:rPr>
              <w:t>乙醇，</w:t>
            </w:r>
            <w:r>
              <w:rPr>
                <w:rFonts w:ascii="仿宋" w:eastAsia="仿宋" w:cs="仿宋"/>
              </w:rPr>
              <w:t>100</w:t>
            </w:r>
            <w:r>
              <w:rPr>
                <w:rFonts w:hint="eastAsia" w:ascii="仿宋" w:eastAsia="仿宋" w:cs="仿宋"/>
              </w:rPr>
              <w:t>℃，</w:t>
            </w:r>
            <w:r>
              <w:rPr>
                <w:rFonts w:ascii="仿宋" w:eastAsia="仿宋" w:cs="仿宋"/>
              </w:rPr>
              <w:t>0.5h</w:t>
            </w:r>
            <w:r>
              <w:rPr>
                <w:rFonts w:hint="eastAsia" w:ascii="仿宋" w:eastAsia="仿宋" w:cs="仿宋"/>
              </w:rPr>
              <w:t>）项目、特定迁移总量（以对苯二</w:t>
            </w:r>
            <w:r>
              <w:rPr>
                <w:rFonts w:ascii="仿宋" w:eastAsia="仿宋" w:cs="仿宋"/>
              </w:rPr>
              <w:t xml:space="preserve"> </w:t>
            </w:r>
            <w:r>
              <w:rPr>
                <w:rFonts w:hint="eastAsia" w:ascii="仿宋" w:eastAsia="仿宋" w:cs="仿宋"/>
              </w:rPr>
              <w:t>甲酸计）（</w:t>
            </w:r>
            <w:r>
              <w:rPr>
                <w:rFonts w:ascii="仿宋" w:eastAsia="仿宋" w:cs="仿宋"/>
              </w:rPr>
              <w:t>50%</w:t>
            </w:r>
            <w:r>
              <w:rPr>
                <w:rFonts w:hint="eastAsia" w:ascii="仿宋" w:eastAsia="仿宋" w:cs="仿宋"/>
              </w:rPr>
              <w:t>乙醇，</w:t>
            </w:r>
            <w:r>
              <w:rPr>
                <w:rFonts w:ascii="仿宋" w:eastAsia="仿宋" w:cs="仿宋"/>
              </w:rPr>
              <w:t>100</w:t>
            </w:r>
            <w:r>
              <w:rPr>
                <w:rFonts w:hint="eastAsia" w:ascii="仿宋" w:eastAsia="仿宋" w:cs="仿宋"/>
              </w:rPr>
              <w:t>℃，</w:t>
            </w:r>
            <w:r>
              <w:rPr>
                <w:rFonts w:ascii="仿宋" w:eastAsia="仿宋" w:cs="仿宋"/>
              </w:rPr>
              <w:t>0.5h</w:t>
            </w:r>
            <w:r>
              <w:rPr>
                <w:rFonts w:hint="eastAsia" w:ascii="仿宋" w:eastAsia="仿宋" w:cs="仿宋"/>
              </w:rPr>
              <w:t>）项目和特定迁移总量（以乙二醇计）（</w:t>
            </w:r>
            <w:r>
              <w:rPr>
                <w:rFonts w:ascii="仿宋" w:eastAsia="仿宋" w:cs="仿宋"/>
              </w:rPr>
              <w:t>50%</w:t>
            </w:r>
            <w:r>
              <w:rPr>
                <w:rFonts w:hint="eastAsia" w:ascii="仿宋" w:eastAsia="仿宋" w:cs="仿宋"/>
              </w:rPr>
              <w:t>乙醇，</w:t>
            </w:r>
            <w:r>
              <w:rPr>
                <w:rFonts w:ascii="仿宋" w:eastAsia="仿宋" w:cs="仿宋"/>
              </w:rPr>
              <w:t xml:space="preserve"> 100</w:t>
            </w:r>
            <w:r>
              <w:rPr>
                <w:rFonts w:hint="eastAsia" w:ascii="仿宋" w:eastAsia="仿宋" w:cs="仿宋"/>
              </w:rPr>
              <w:t>℃，</w:t>
            </w:r>
            <w:r>
              <w:rPr>
                <w:rFonts w:ascii="仿宋" w:eastAsia="仿宋" w:cs="仿宋"/>
              </w:rPr>
              <w:t>0.5h</w:t>
            </w:r>
            <w:r>
              <w:rPr>
                <w:rFonts w:hint="eastAsia" w:ascii="仿宋" w:eastAsia="仿宋" w:cs="仿宋"/>
              </w:rPr>
              <w:t>）项目适用于材质为</w:t>
            </w:r>
            <w:r>
              <w:rPr>
                <w:rFonts w:ascii="仿宋" w:eastAsia="仿宋" w:cs="仿宋"/>
                <w:spacing w:val="-60"/>
              </w:rPr>
              <w:t xml:space="preserve"> </w:t>
            </w:r>
            <w:r>
              <w:rPr>
                <w:rFonts w:ascii="仿宋" w:eastAsia="仿宋" w:cs="仿宋"/>
              </w:rPr>
              <w:t>PET</w:t>
            </w:r>
            <w:r>
              <w:rPr>
                <w:rFonts w:ascii="仿宋" w:eastAsia="仿宋" w:cs="仿宋"/>
                <w:spacing w:val="-60"/>
              </w:rPr>
              <w:t xml:space="preserve"> </w:t>
            </w:r>
            <w:r>
              <w:rPr>
                <w:rFonts w:hint="eastAsia" w:ascii="仿宋" w:eastAsia="仿宋" w:cs="仿宋"/>
              </w:rPr>
              <w:t>的塑料奶瓶。</w:t>
            </w:r>
          </w:p>
          <w:p w14:paraId="36A080DC">
            <w:pPr>
              <w:pStyle w:val="12"/>
              <w:kinsoku w:val="0"/>
              <w:overflowPunct w:val="0"/>
              <w:spacing w:before="29" w:line="312" w:lineRule="exact"/>
              <w:ind w:left="103" w:right="19"/>
              <w:rPr>
                <w:rFonts w:ascii="仿宋" w:eastAsia="仿宋" w:cs="仿宋"/>
              </w:rPr>
            </w:pPr>
            <w:r>
              <w:rPr>
                <w:rFonts w:hint="eastAsia" w:ascii="仿宋" w:hAnsi="仿宋" w:eastAsia="仿宋"/>
                <w:color w:val="000000"/>
              </w:rPr>
              <w:t>4</w:t>
            </w:r>
            <w:r>
              <w:rPr>
                <w:rFonts w:ascii="仿宋" w:hAnsi="仿宋" w:eastAsia="仿宋"/>
                <w:color w:val="000000"/>
              </w:rPr>
              <w:t>.</w:t>
            </w:r>
            <w:r>
              <w:rPr>
                <w:rFonts w:hint="eastAsia" w:ascii="仿宋" w:hAnsi="仿宋" w:eastAsia="仿宋"/>
                <w:color w:val="000000"/>
              </w:rPr>
              <w:t>高锰酸钾消耗量不适用生产日期在2</w:t>
            </w:r>
            <w:r>
              <w:rPr>
                <w:rFonts w:ascii="仿宋" w:hAnsi="仿宋" w:eastAsia="仿宋"/>
                <w:color w:val="000000"/>
              </w:rPr>
              <w:t>024</w:t>
            </w:r>
            <w:r>
              <w:rPr>
                <w:rFonts w:hint="eastAsia" w:ascii="仿宋" w:hAnsi="仿宋" w:eastAsia="仿宋"/>
                <w:color w:val="000000"/>
              </w:rPr>
              <w:t>年9月6日之后的、且淀粉含量≥40%的淀粉基塑料材料及制品。</w:t>
            </w:r>
          </w:p>
          <w:p w14:paraId="467C51B0">
            <w:pPr>
              <w:autoSpaceDE/>
              <w:autoSpaceDN/>
              <w:snapToGrid w:val="0"/>
              <w:ind w:firstLine="240" w:firstLineChars="100"/>
            </w:pPr>
            <w:r>
              <w:rPr>
                <w:rFonts w:hint="eastAsia" w:ascii="仿宋" w:hAnsi="仿宋" w:eastAsia="仿宋"/>
                <w:color w:val="000000"/>
                <w:kern w:val="2"/>
              </w:rPr>
              <w:t>5</w:t>
            </w:r>
            <w:r>
              <w:rPr>
                <w:rFonts w:ascii="仿宋" w:hAnsi="仿宋" w:eastAsia="仿宋"/>
                <w:color w:val="000000"/>
                <w:kern w:val="2"/>
              </w:rPr>
              <w:t>.</w:t>
            </w:r>
            <w:r>
              <w:rPr>
                <w:rFonts w:hint="eastAsia" w:ascii="仿宋" w:hAnsi="仿宋" w:eastAsia="仿宋"/>
                <w:color w:val="000000"/>
                <w:kern w:val="2"/>
              </w:rPr>
              <w:t>芳香族伯胺迁移总量仅</w:t>
            </w:r>
            <w:r>
              <w:rPr>
                <w:rFonts w:ascii="仿宋" w:hAnsi="仿宋" w:eastAsia="仿宋"/>
                <w:color w:val="000000"/>
                <w:kern w:val="2"/>
              </w:rPr>
              <w:t>适用于生产日期在2024年9月6日及之后的</w:t>
            </w:r>
            <w:r>
              <w:rPr>
                <w:rFonts w:hint="eastAsia" w:ascii="仿宋" w:hAnsi="仿宋" w:eastAsia="仿宋"/>
                <w:color w:val="000000"/>
                <w:kern w:val="2"/>
              </w:rPr>
              <w:t>、且含有芳香族异氰酸酯和偶氮类着色剂等可能产生芳香族伯胺类物质的产品</w:t>
            </w:r>
            <w:r>
              <w:rPr>
                <w:rFonts w:ascii="仿宋" w:hAnsi="仿宋" w:eastAsia="仿宋"/>
                <w:color w:val="000000"/>
                <w:kern w:val="2"/>
              </w:rPr>
              <w:t>。</w:t>
            </w:r>
          </w:p>
        </w:tc>
      </w:tr>
    </w:tbl>
    <w:p w14:paraId="57044C16">
      <w:pPr>
        <w:pStyle w:val="3"/>
        <w:kinsoku w:val="0"/>
        <w:overflowPunct w:val="0"/>
        <w:spacing w:before="11"/>
        <w:ind w:left="0"/>
        <w:rPr>
          <w:rFonts w:ascii="宋体" w:eastAsia="宋体" w:cs="宋体"/>
          <w:sz w:val="7"/>
          <w:szCs w:val="7"/>
        </w:rPr>
      </w:pPr>
    </w:p>
    <w:p w14:paraId="5AE7DC34">
      <w:pPr>
        <w:pStyle w:val="3"/>
        <w:kinsoku w:val="0"/>
        <w:overflowPunct w:val="0"/>
        <w:spacing w:before="0" w:line="424" w:lineRule="exact"/>
        <w:ind w:left="860" w:right="94"/>
      </w:pPr>
      <w:r>
        <w:rPr>
          <w:rFonts w:hint="eastAsia"/>
        </w:rPr>
        <w:t>检验方法包括相关产品标准及试验方法标准。</w:t>
      </w:r>
    </w:p>
    <w:p w14:paraId="0BF7AC88">
      <w:pPr>
        <w:pStyle w:val="3"/>
        <w:kinsoku w:val="0"/>
        <w:overflowPunct w:val="0"/>
        <w:spacing w:before="98" w:line="290" w:lineRule="auto"/>
        <w:ind w:left="219" w:right="261" w:firstLine="640"/>
        <w:jc w:val="both"/>
      </w:pPr>
      <w:r>
        <w:rPr>
          <w:rFonts w:hint="eastAsia"/>
          <w:spacing w:val="-1"/>
          <w:w w:val="95"/>
        </w:rPr>
        <w:t>凡是注日期的文件，其随后所有的修改单（不包括勘误的内</w:t>
      </w:r>
      <w:r>
        <w:rPr>
          <w:w w:val="95"/>
        </w:rPr>
        <w:t xml:space="preserve"> </w:t>
      </w:r>
      <w:r>
        <w:rPr>
          <w:rFonts w:hint="eastAsia"/>
          <w:spacing w:val="-1"/>
          <w:w w:val="95"/>
        </w:rPr>
        <w:t>容）或修订版不适用于本细则。凡是不注日期的文件，其最新版</w:t>
      </w:r>
      <w:r>
        <w:rPr>
          <w:w w:val="95"/>
        </w:rPr>
        <w:t xml:space="preserve"> </w:t>
      </w:r>
      <w:r>
        <w:rPr>
          <w:rFonts w:hint="eastAsia"/>
        </w:rPr>
        <w:t>本适用于本细则。</w:t>
      </w:r>
    </w:p>
    <w:p w14:paraId="37A297A0">
      <w:pPr>
        <w:autoSpaceDE/>
        <w:autoSpaceDN/>
        <w:adjustRightInd/>
        <w:spacing w:line="600" w:lineRule="exact"/>
        <w:ind w:firstLine="640" w:firstLineChars="200"/>
        <w:jc w:val="both"/>
        <w:outlineLvl w:val="0"/>
        <w:rPr>
          <w:rFonts w:hint="eastAsia" w:ascii="黑体" w:hAnsi="黑体" w:eastAsia="黑体" w:cs="黑体"/>
          <w:bCs/>
          <w:kern w:val="2"/>
          <w:sz w:val="32"/>
          <w:szCs w:val="32"/>
        </w:rPr>
      </w:pPr>
      <w:r>
        <w:rPr>
          <w:rFonts w:ascii="黑体" w:hAnsi="黑体" w:eastAsia="黑体" w:cs="黑体"/>
          <w:bCs/>
          <w:kern w:val="2"/>
          <w:sz w:val="32"/>
          <w:szCs w:val="32"/>
        </w:rPr>
        <w:t>4.</w:t>
      </w:r>
      <w:r>
        <w:rPr>
          <w:rFonts w:hint="eastAsia" w:ascii="黑体" w:hAnsi="黑体" w:eastAsia="黑体" w:cs="黑体"/>
          <w:bCs/>
          <w:kern w:val="2"/>
          <w:sz w:val="32"/>
          <w:szCs w:val="32"/>
        </w:rPr>
        <w:t>判定规则</w:t>
      </w:r>
    </w:p>
    <w:p w14:paraId="739FB422">
      <w:pPr>
        <w:widowControl/>
        <w:autoSpaceDE/>
        <w:autoSpaceDN/>
        <w:adjustRightInd/>
        <w:spacing w:line="560" w:lineRule="exact"/>
        <w:ind w:firstLine="640" w:firstLineChars="200"/>
        <w:rPr>
          <w:rFonts w:hint="eastAsia" w:ascii="方正仿宋_GBK" w:hAnsi="方正仿宋_GBK" w:eastAsia="方正仿宋_GBK" w:cs="方正仿宋_GBK"/>
          <w:b/>
          <w:kern w:val="2"/>
          <w:sz w:val="32"/>
          <w:szCs w:val="32"/>
        </w:rPr>
      </w:pPr>
      <w:r>
        <w:rPr>
          <w:rFonts w:ascii="方正仿宋_GBK" w:hAnsi="方正仿宋_GBK" w:eastAsia="方正仿宋_GBK" w:cs="方正仿宋_GBK"/>
          <w:b/>
          <w:kern w:val="2"/>
          <w:sz w:val="32"/>
          <w:szCs w:val="32"/>
        </w:rPr>
        <w:t xml:space="preserve">4.1 </w:t>
      </w:r>
      <w:r>
        <w:rPr>
          <w:rFonts w:hint="eastAsia" w:ascii="方正仿宋_GBK" w:hAnsi="方正仿宋_GBK" w:eastAsia="方正仿宋_GBK" w:cs="方正仿宋_GBK"/>
          <w:b/>
          <w:kern w:val="2"/>
          <w:sz w:val="32"/>
          <w:szCs w:val="32"/>
        </w:rPr>
        <w:t>依据标准</w:t>
      </w:r>
    </w:p>
    <w:p w14:paraId="50CE627A">
      <w:pPr>
        <w:autoSpaceDE/>
        <w:autoSpaceDN/>
        <w:adjustRightInd/>
        <w:spacing w:line="560" w:lineRule="exact"/>
        <w:ind w:firstLine="640" w:firstLineChars="200"/>
        <w:contextualSpacing/>
        <w:rPr>
          <w:rFonts w:hint="eastAsia"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GB 4806.6-2016</w:t>
      </w:r>
      <w:bookmarkStart w:id="0" w:name="_Hlk165841495"/>
      <w:r>
        <w:rPr>
          <w:rFonts w:hint="eastAsia" w:ascii="方正仿宋_GBK" w:hAnsi="方正仿宋_GBK" w:eastAsia="方正仿宋_GBK" w:cs="方正仿宋_GBK"/>
          <w:kern w:val="2"/>
          <w:sz w:val="32"/>
          <w:szCs w:val="32"/>
        </w:rPr>
        <w:t>《</w:t>
      </w:r>
      <w:bookmarkEnd w:id="0"/>
      <w:r>
        <w:rPr>
          <w:rFonts w:hint="eastAsia" w:ascii="方正仿宋_GBK" w:hAnsi="方正仿宋_GBK" w:eastAsia="方正仿宋_GBK" w:cs="方正仿宋_GBK"/>
          <w:kern w:val="2"/>
          <w:sz w:val="32"/>
          <w:szCs w:val="32"/>
        </w:rPr>
        <w:t>食品安全国家标准食品接触用塑料树脂》</w:t>
      </w:r>
    </w:p>
    <w:p w14:paraId="18A4D257">
      <w:pPr>
        <w:autoSpaceDE/>
        <w:autoSpaceDN/>
        <w:adjustRightInd/>
        <w:spacing w:line="560" w:lineRule="exact"/>
        <w:ind w:firstLine="640" w:firstLineChars="200"/>
        <w:contextualSpacing/>
        <w:rPr>
          <w:rFonts w:hint="eastAsia"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GB 4806.7-2016</w:t>
      </w:r>
      <w:r>
        <w:rPr>
          <w:rFonts w:hint="eastAsia" w:ascii="方正仿宋_GBK" w:hAnsi="方正仿宋_GBK" w:eastAsia="方正仿宋_GBK" w:cs="方正仿宋_GBK"/>
          <w:kern w:val="2"/>
          <w:sz w:val="32"/>
          <w:szCs w:val="32"/>
        </w:rPr>
        <w:t>《食品安全国家标准</w:t>
      </w:r>
      <w:r>
        <w:rPr>
          <w:rFonts w:ascii="方正仿宋_GBK" w:hAnsi="方正仿宋_GBK" w:eastAsia="方正仿宋_GBK" w:cs="方正仿宋_GBK"/>
          <w:kern w:val="2"/>
          <w:sz w:val="32"/>
          <w:szCs w:val="32"/>
        </w:rPr>
        <w:t xml:space="preserve"> </w:t>
      </w:r>
      <w:r>
        <w:rPr>
          <w:rFonts w:hint="eastAsia" w:ascii="方正仿宋_GBK" w:hAnsi="方正仿宋_GBK" w:eastAsia="方正仿宋_GBK" w:cs="方正仿宋_GBK"/>
          <w:kern w:val="2"/>
          <w:sz w:val="32"/>
          <w:szCs w:val="32"/>
        </w:rPr>
        <w:t>食品接触用塑料材料及制品》；</w:t>
      </w:r>
    </w:p>
    <w:p w14:paraId="06261C4A">
      <w:pPr>
        <w:autoSpaceDE/>
        <w:autoSpaceDN/>
        <w:adjustRightInd/>
        <w:spacing w:line="560" w:lineRule="exact"/>
        <w:ind w:firstLine="640" w:firstLineChars="200"/>
        <w:contextualSpacing/>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GB 4806.7-2023《食品安全国家标准 食品接触用塑料材料及制品》</w:t>
      </w:r>
    </w:p>
    <w:p w14:paraId="7F17FDB3">
      <w:pPr>
        <w:autoSpaceDE/>
        <w:autoSpaceDN/>
        <w:adjustRightInd/>
        <w:spacing w:line="560" w:lineRule="exact"/>
        <w:ind w:firstLine="640" w:firstLineChars="200"/>
        <w:contextualSpacing/>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现行有效的企业标准、团体标准、地方标准及产品明示质量要求</w:t>
      </w:r>
    </w:p>
    <w:p w14:paraId="566CAC6B">
      <w:pPr>
        <w:widowControl/>
        <w:autoSpaceDE/>
        <w:autoSpaceDN/>
        <w:adjustRightInd/>
        <w:spacing w:line="560" w:lineRule="exact"/>
        <w:ind w:firstLine="640" w:firstLineChars="200"/>
        <w:rPr>
          <w:rFonts w:hint="eastAsia" w:ascii="方正仿宋_GBK" w:hAnsi="方正仿宋_GBK" w:eastAsia="方正仿宋_GBK" w:cs="方正仿宋_GBK"/>
          <w:b/>
          <w:kern w:val="2"/>
          <w:sz w:val="32"/>
          <w:szCs w:val="32"/>
        </w:rPr>
      </w:pPr>
      <w:r>
        <w:rPr>
          <w:rFonts w:ascii="方正仿宋_GBK" w:hAnsi="方正仿宋_GBK" w:eastAsia="方正仿宋_GBK" w:cs="方正仿宋_GBK"/>
          <w:b/>
          <w:kern w:val="2"/>
          <w:sz w:val="32"/>
          <w:szCs w:val="32"/>
        </w:rPr>
        <w:t xml:space="preserve">4.2 </w:t>
      </w:r>
      <w:r>
        <w:rPr>
          <w:rFonts w:hint="eastAsia" w:ascii="方正仿宋_GBK" w:hAnsi="方正仿宋_GBK" w:eastAsia="方正仿宋_GBK" w:cs="方正仿宋_GBK"/>
          <w:b/>
          <w:kern w:val="2"/>
          <w:sz w:val="32"/>
          <w:szCs w:val="32"/>
        </w:rPr>
        <w:t>判定原则</w:t>
      </w:r>
    </w:p>
    <w:p w14:paraId="221F7065">
      <w:pPr>
        <w:pStyle w:val="3"/>
        <w:kinsoku w:val="0"/>
        <w:overflowPunct w:val="0"/>
        <w:spacing w:before="0" w:line="560" w:lineRule="exact"/>
        <w:ind w:left="0" w:firstLine="604" w:firstLineChars="200"/>
      </w:pPr>
      <w:r>
        <w:rPr>
          <w:rFonts w:hint="eastAsia"/>
          <w:spacing w:val="-1"/>
          <w:w w:val="95"/>
        </w:rPr>
        <w:t>经检验，检验项目全部合格，判定为被抽查产品所检项目未发现不合格；检验项目中任一项或一项以上不合格，判定为被抽</w:t>
      </w:r>
      <w:r>
        <w:rPr>
          <w:rFonts w:hint="eastAsia"/>
        </w:rPr>
        <w:t>查产品不合格。</w:t>
      </w:r>
    </w:p>
    <w:p w14:paraId="2B279F45">
      <w:pPr>
        <w:pStyle w:val="3"/>
        <w:kinsoku w:val="0"/>
        <w:overflowPunct w:val="0"/>
        <w:spacing w:before="0" w:line="560" w:lineRule="exact"/>
        <w:ind w:left="0" w:firstLine="640"/>
      </w:pPr>
      <w:r>
        <w:rPr>
          <w:rFonts w:hint="eastAsia"/>
          <w:spacing w:val="12"/>
          <w:w w:val="95"/>
        </w:rPr>
        <w:t>若被检产品明示的质量要求高于本细则中检验项目依据的</w:t>
      </w:r>
      <w:r>
        <w:rPr>
          <w:rFonts w:hint="eastAsia"/>
        </w:rPr>
        <w:t>标准要求时，应按被检产品明示的质量要求判定。</w:t>
      </w:r>
    </w:p>
    <w:p w14:paraId="2A15E5F8">
      <w:pPr>
        <w:pStyle w:val="3"/>
        <w:kinsoku w:val="0"/>
        <w:overflowPunct w:val="0"/>
        <w:spacing w:before="0" w:line="560" w:lineRule="exact"/>
        <w:ind w:left="0" w:firstLine="640"/>
      </w:pPr>
      <w:r>
        <w:rPr>
          <w:rFonts w:hint="eastAsia"/>
          <w:spacing w:val="12"/>
          <w:w w:val="95"/>
        </w:rPr>
        <w:t>若被检产品明示的质量要求低于本细则中检验项目依据的</w:t>
      </w:r>
      <w:r>
        <w:rPr>
          <w:rFonts w:hint="eastAsia"/>
        </w:rPr>
        <w:t>强制性标准要求时，应按照强制性标准要求判定。</w:t>
      </w:r>
    </w:p>
    <w:p w14:paraId="25243502">
      <w:pPr>
        <w:pStyle w:val="3"/>
        <w:kinsoku w:val="0"/>
        <w:overflowPunct w:val="0"/>
        <w:spacing w:before="0" w:line="560" w:lineRule="exact"/>
        <w:ind w:left="0" w:firstLine="640"/>
      </w:pPr>
      <w:r>
        <w:rPr>
          <w:rFonts w:hint="eastAsia"/>
          <w:spacing w:val="12"/>
          <w:w w:val="95"/>
        </w:rPr>
        <w:t>若被检产品明示的质量要求低于或包含细则中检验项目依</w:t>
      </w:r>
      <w:r>
        <w:rPr>
          <w:rFonts w:hint="eastAsia"/>
          <w:spacing w:val="-1"/>
          <w:w w:val="95"/>
        </w:rPr>
        <w:t>据的推荐性标准要求时，应以被检产品明示的质量要求判定，但</w:t>
      </w:r>
      <w:r>
        <w:rPr>
          <w:rFonts w:hint="eastAsia"/>
        </w:rPr>
        <w:t>应在检验报告备注中进行说明。</w:t>
      </w:r>
    </w:p>
    <w:p w14:paraId="7912665D">
      <w:pPr>
        <w:pStyle w:val="3"/>
        <w:kinsoku w:val="0"/>
        <w:overflowPunct w:val="0"/>
        <w:spacing w:before="0" w:line="560" w:lineRule="exact"/>
        <w:ind w:left="0" w:firstLine="640"/>
      </w:pPr>
      <w:r>
        <w:rPr>
          <w:rFonts w:hint="eastAsia"/>
          <w:spacing w:val="12"/>
          <w:w w:val="95"/>
        </w:rPr>
        <w:t>若被检产品明示的质量要求缺少本细则中检验项目依据的</w:t>
      </w:r>
      <w:r>
        <w:rPr>
          <w:rFonts w:hint="eastAsia"/>
        </w:rPr>
        <w:t>强制性标准要求时，应按照强制性标准要求判定。</w:t>
      </w:r>
    </w:p>
    <w:p w14:paraId="51EDF96B">
      <w:pPr>
        <w:pStyle w:val="3"/>
        <w:kinsoku w:val="0"/>
        <w:overflowPunct w:val="0"/>
        <w:spacing w:before="0" w:line="560" w:lineRule="exact"/>
        <w:ind w:left="0" w:firstLine="640"/>
      </w:pPr>
      <w:r>
        <w:rPr>
          <w:rFonts w:hint="eastAsia"/>
          <w:spacing w:val="12"/>
          <w:w w:val="95"/>
        </w:rPr>
        <w:t>若被检产品明示的质量要求缺少本细则中检验项目依据的</w:t>
      </w:r>
      <w:r>
        <w:rPr>
          <w:rFonts w:hint="eastAsia"/>
          <w:spacing w:val="-1"/>
          <w:w w:val="95"/>
        </w:rPr>
        <w:t>推荐性标准要求时，该项目不参与判定，但应在检验报告备注中</w:t>
      </w:r>
      <w:r>
        <w:rPr>
          <w:rFonts w:hint="eastAsia"/>
        </w:rPr>
        <w:t>进行说明。</w:t>
      </w:r>
    </w:p>
    <w:p w14:paraId="31864C9F">
      <w:pPr>
        <w:autoSpaceDE/>
        <w:autoSpaceDN/>
        <w:adjustRightInd/>
        <w:spacing w:line="600" w:lineRule="exact"/>
        <w:ind w:firstLine="640" w:firstLineChars="200"/>
        <w:jc w:val="both"/>
        <w:outlineLvl w:val="0"/>
        <w:rPr>
          <w:rFonts w:hint="eastAsia" w:ascii="黑体" w:hAnsi="黑体" w:eastAsia="黑体" w:cs="黑体"/>
          <w:bCs/>
          <w:kern w:val="2"/>
          <w:sz w:val="32"/>
          <w:szCs w:val="32"/>
        </w:rPr>
      </w:pPr>
      <w:r>
        <w:rPr>
          <w:rFonts w:ascii="黑体" w:hAnsi="黑体" w:eastAsia="黑体" w:cs="黑体"/>
          <w:bCs/>
          <w:kern w:val="2"/>
          <w:sz w:val="32"/>
          <w:szCs w:val="32"/>
        </w:rPr>
        <w:t>5.</w:t>
      </w:r>
      <w:r>
        <w:rPr>
          <w:rFonts w:hint="eastAsia" w:ascii="黑体" w:hAnsi="黑体" w:eastAsia="黑体" w:cs="黑体"/>
          <w:bCs/>
          <w:kern w:val="2"/>
          <w:sz w:val="32"/>
          <w:szCs w:val="32"/>
        </w:rPr>
        <w:t>异议处理</w:t>
      </w:r>
    </w:p>
    <w:p w14:paraId="083645EF">
      <w:pPr>
        <w:pStyle w:val="3"/>
        <w:kinsoku w:val="0"/>
        <w:overflowPunct w:val="0"/>
        <w:spacing w:before="138" w:line="290" w:lineRule="auto"/>
        <w:ind w:right="101" w:firstLine="640"/>
        <w:jc w:val="both"/>
      </w:pPr>
      <w:r>
        <w:t>5.1</w:t>
      </w:r>
      <w:r>
        <w:rPr>
          <w:spacing w:val="-69"/>
        </w:rPr>
        <w:t xml:space="preserve"> </w:t>
      </w:r>
      <w:r>
        <w:rPr>
          <w:rFonts w:hint="eastAsia"/>
          <w:spacing w:val="5"/>
        </w:rPr>
        <w:t>对监督抽查程序有异议的，由任务下达部门核查相关证</w:t>
      </w:r>
      <w:r>
        <w:rPr>
          <w:spacing w:val="5"/>
        </w:rPr>
        <w:t xml:space="preserve"> </w:t>
      </w:r>
      <w:r>
        <w:rPr>
          <w:rFonts w:hint="eastAsia"/>
        </w:rPr>
        <w:t>据后维持或者撤销原检验结果。</w:t>
      </w:r>
    </w:p>
    <w:p w14:paraId="252590F5">
      <w:pPr>
        <w:pStyle w:val="3"/>
        <w:kinsoku w:val="0"/>
        <w:overflowPunct w:val="0"/>
        <w:spacing w:line="290" w:lineRule="auto"/>
        <w:ind w:right="101" w:firstLine="640"/>
        <w:jc w:val="both"/>
      </w:pPr>
      <w:r>
        <w:t>5.2</w:t>
      </w:r>
      <w:r>
        <w:rPr>
          <w:spacing w:val="-74"/>
        </w:rPr>
        <w:t xml:space="preserve"> </w:t>
      </w:r>
      <w:r>
        <w:rPr>
          <w:rFonts w:hint="eastAsia"/>
          <w:spacing w:val="5"/>
        </w:rPr>
        <w:t>对检验结果有异议的，任务下达部门核查相关证据，能</w:t>
      </w:r>
      <w:r>
        <w:rPr>
          <w:spacing w:val="5"/>
        </w:rPr>
        <w:t xml:space="preserve"> </w:t>
      </w:r>
      <w:r>
        <w:rPr>
          <w:rFonts w:hint="eastAsia"/>
          <w:spacing w:val="-1"/>
          <w:w w:val="95"/>
        </w:rPr>
        <w:t>够证明原检验结果准确的，维持原检验结果；不能证明原检验结果准确，需要进行复检的，由任务下达部门指定复检机构进行复</w:t>
      </w:r>
      <w:r>
        <w:rPr>
          <w:rFonts w:hint="eastAsia"/>
        </w:rPr>
        <w:t>检，复检结果为本次监督抽查最终结论。</w:t>
      </w:r>
    </w:p>
    <w:p w14:paraId="2D36C426">
      <w:pPr>
        <w:pStyle w:val="3"/>
        <w:kinsoku w:val="0"/>
        <w:overflowPunct w:val="0"/>
        <w:spacing w:before="26" w:line="290" w:lineRule="auto"/>
        <w:ind w:right="101" w:firstLine="640"/>
        <w:jc w:val="both"/>
        <w:rPr>
          <w:rFonts w:hint="eastAsia"/>
        </w:rPr>
      </w:pPr>
      <w:r>
        <w:t>5.3</w:t>
      </w:r>
      <w:r>
        <w:rPr>
          <w:spacing w:val="-75"/>
        </w:rPr>
        <w:t xml:space="preserve"> </w:t>
      </w:r>
      <w:r>
        <w:rPr>
          <w:rFonts w:hint="eastAsia"/>
          <w:spacing w:val="5"/>
        </w:rPr>
        <w:t>对样品信息有异议的，任务下达部门核查样品确认情况</w:t>
      </w:r>
      <w:r>
        <w:rPr>
          <w:spacing w:val="5"/>
        </w:rPr>
        <w:t xml:space="preserve"> </w:t>
      </w:r>
      <w:r>
        <w:rPr>
          <w:rFonts w:hint="eastAsia"/>
        </w:rPr>
        <w:t>和生产企业提交证明材料后，维持或者撤销原检验结果。</w:t>
      </w:r>
    </w:p>
    <w:p w14:paraId="55B9EDDD">
      <w:pPr>
        <w:pStyle w:val="3"/>
        <w:kinsoku w:val="0"/>
        <w:overflowPunct w:val="0"/>
        <w:spacing w:before="26" w:line="290" w:lineRule="auto"/>
        <w:ind w:right="101" w:firstLine="640"/>
        <w:jc w:val="both"/>
        <w:rPr>
          <w:rFonts w:hint="eastAsia"/>
        </w:rPr>
      </w:pPr>
    </w:p>
    <w:p w14:paraId="2CB15C62">
      <w:pPr>
        <w:pStyle w:val="3"/>
        <w:kinsoku w:val="0"/>
        <w:overflowPunct w:val="0"/>
        <w:spacing w:before="26" w:line="290" w:lineRule="auto"/>
        <w:ind w:right="101" w:firstLine="640"/>
        <w:jc w:val="both"/>
        <w:rPr>
          <w:rFonts w:hint="eastAsia"/>
        </w:rPr>
      </w:pPr>
    </w:p>
    <w:p w14:paraId="389E1E25">
      <w:pPr>
        <w:snapToGrid w:val="0"/>
        <w:spacing w:after="120" w:afterLines="50" w:line="580" w:lineRule="exact"/>
        <w:jc w:val="center"/>
        <w:rPr>
          <w:rFonts w:hint="eastAsia" w:ascii="方正小标宋_GBK" w:hAnsi="宋体" w:eastAsia="方正小标宋_GBK" w:cs="方正小标宋_GBK"/>
          <w:color w:val="000000"/>
          <w:kern w:val="2"/>
          <w:sz w:val="44"/>
          <w:szCs w:val="44"/>
          <w:lang w:eastAsia="zh-CN"/>
        </w:rPr>
      </w:pPr>
      <w:r>
        <w:rPr>
          <w:rFonts w:hint="eastAsia" w:ascii="方正小标宋_GBK" w:hAnsi="宋体" w:eastAsia="方正小标宋_GBK" w:cs="方正小标宋_GBK"/>
          <w:color w:val="000000"/>
          <w:kern w:val="2"/>
          <w:sz w:val="44"/>
          <w:szCs w:val="44"/>
          <w:lang w:eastAsia="zh-CN"/>
        </w:rPr>
        <w:t>2026年连云港市</w:t>
      </w:r>
      <w:r>
        <w:rPr>
          <w:rFonts w:ascii="方正小标宋_GBK" w:hAnsi="宋体" w:eastAsia="方正小标宋_GBK" w:cs="方正小标宋_GBK"/>
          <w:color w:val="000000"/>
          <w:kern w:val="2"/>
          <w:sz w:val="44"/>
          <w:szCs w:val="44"/>
          <w:lang w:eastAsia="zh-CN"/>
        </w:rPr>
        <w:t>婴幼儿奶嘴产品质量监督抽查实施细则</w:t>
      </w:r>
    </w:p>
    <w:p w14:paraId="24F7436A">
      <w:pPr>
        <w:spacing w:line="600" w:lineRule="exact"/>
        <w:ind w:firstLine="640" w:firstLineChars="200"/>
        <w:jc w:val="both"/>
        <w:outlineLvl w:val="0"/>
        <w:rPr>
          <w:rFonts w:hint="eastAsia" w:ascii="黑体" w:hAnsi="黑体" w:eastAsia="黑体" w:cs="黑体"/>
          <w:bCs/>
          <w:kern w:val="2"/>
          <w:sz w:val="32"/>
          <w:szCs w:val="32"/>
          <w:lang w:eastAsia="zh-CN"/>
        </w:rPr>
      </w:pPr>
      <w:r>
        <w:rPr>
          <w:rFonts w:ascii="黑体" w:hAnsi="黑体" w:eastAsia="黑体" w:cs="黑体"/>
          <w:bCs/>
          <w:kern w:val="2"/>
          <w:sz w:val="32"/>
          <w:szCs w:val="32"/>
          <w:lang w:eastAsia="zh-CN"/>
        </w:rPr>
        <w:t>1.范围</w:t>
      </w:r>
    </w:p>
    <w:p w14:paraId="3CE20868">
      <w:pPr>
        <w:pStyle w:val="3"/>
        <w:spacing w:before="0" w:line="560" w:lineRule="exact"/>
        <w:ind w:left="0" w:firstLine="640"/>
        <w:rPr>
          <w:rFonts w:hint="eastAsia"/>
          <w:lang w:eastAsia="zh-CN"/>
        </w:rPr>
      </w:pPr>
      <w:r>
        <w:rPr>
          <w:spacing w:val="12"/>
          <w:w w:val="95"/>
          <w:lang w:eastAsia="zh-CN"/>
        </w:rPr>
        <w:t>本细则适用于</w:t>
      </w:r>
      <w:r>
        <w:rPr>
          <w:rFonts w:hint="eastAsia"/>
          <w:spacing w:val="12"/>
          <w:w w:val="95"/>
          <w:lang w:eastAsia="zh-CN"/>
        </w:rPr>
        <w:t>连云港市</w:t>
      </w:r>
      <w:r>
        <w:rPr>
          <w:spacing w:val="12"/>
          <w:w w:val="95"/>
          <w:lang w:eastAsia="zh-CN"/>
        </w:rPr>
        <w:t>市场监督管理局组织的婴幼儿奶嘴产</w:t>
      </w:r>
      <w:r>
        <w:rPr>
          <w:spacing w:val="-1"/>
          <w:w w:val="95"/>
          <w:lang w:eastAsia="zh-CN"/>
        </w:rPr>
        <w:t>品质量监督抽查检验。本细则规定了此产品的抽样方法、检验依</w:t>
      </w:r>
      <w:r>
        <w:rPr>
          <w:lang w:eastAsia="zh-CN"/>
        </w:rPr>
        <w:t>据、检验项目、检验方法、判定原则、异议处理及复检。</w:t>
      </w:r>
    </w:p>
    <w:p w14:paraId="466961E3">
      <w:pPr>
        <w:spacing w:line="600" w:lineRule="exact"/>
        <w:ind w:firstLine="640" w:firstLineChars="200"/>
        <w:jc w:val="both"/>
        <w:outlineLvl w:val="0"/>
        <w:rPr>
          <w:rFonts w:hint="eastAsia" w:ascii="黑体" w:hAnsi="黑体" w:eastAsia="黑体" w:cs="黑体"/>
          <w:bCs/>
          <w:kern w:val="2"/>
          <w:sz w:val="32"/>
          <w:szCs w:val="32"/>
          <w:lang w:eastAsia="zh-CN"/>
        </w:rPr>
      </w:pPr>
      <w:r>
        <w:rPr>
          <w:rFonts w:ascii="黑体" w:hAnsi="黑体" w:eastAsia="黑体" w:cs="黑体"/>
          <w:bCs/>
          <w:kern w:val="2"/>
          <w:sz w:val="32"/>
          <w:szCs w:val="32"/>
          <w:lang w:eastAsia="zh-CN"/>
        </w:rPr>
        <w:t>2.抽样方法</w:t>
      </w:r>
    </w:p>
    <w:p w14:paraId="53DD0EB7">
      <w:pPr>
        <w:spacing w:line="560" w:lineRule="exact"/>
        <w:ind w:firstLine="640" w:firstLineChars="200"/>
        <w:jc w:val="both"/>
        <w:rPr>
          <w:rFonts w:hint="eastAsia" w:ascii="方正仿宋_GBK" w:hAnsi="方正仿宋_GBK" w:eastAsia="方正仿宋_GBK" w:cs="方正仿宋_GBK"/>
          <w:b/>
          <w:color w:val="000000" w:themeColor="text1"/>
          <w:kern w:val="2"/>
          <w:sz w:val="32"/>
          <w:szCs w:val="32"/>
          <w:lang w:eastAsia="zh-CN"/>
        </w:rPr>
      </w:pPr>
      <w:r>
        <w:rPr>
          <w:rFonts w:ascii="方正仿宋_GBK" w:hAnsi="方正仿宋_GBK" w:eastAsia="方正仿宋_GBK" w:cs="方正仿宋_GBK"/>
          <w:b/>
          <w:color w:val="000000" w:themeColor="text1"/>
          <w:kern w:val="2"/>
          <w:sz w:val="32"/>
          <w:szCs w:val="32"/>
          <w:lang w:eastAsia="zh-CN"/>
        </w:rPr>
        <w:t>2.1 生产企业、实体店抽样</w:t>
      </w:r>
    </w:p>
    <w:p w14:paraId="628A66BC">
      <w:pPr>
        <w:spacing w:line="560" w:lineRule="exact"/>
        <w:ind w:firstLine="604" w:firstLineChars="200"/>
        <w:rPr>
          <w:lang w:eastAsia="zh-CN"/>
        </w:rPr>
      </w:pPr>
      <w:r>
        <w:rPr>
          <w:rFonts w:ascii="方正仿宋_GBK" w:hAnsi="方正仿宋_GBK" w:eastAsia="方正仿宋_GBK" w:cs="方正仿宋_GBK"/>
          <w:spacing w:val="-1"/>
          <w:w w:val="95"/>
          <w:sz w:val="32"/>
          <w:szCs w:val="32"/>
          <w:lang w:eastAsia="zh-CN"/>
        </w:rPr>
        <w:t>在受检企业的成品仓库或者其确认场所，随机抽取有产品质量检验合格证明或者其他形式表明合格的待销产品，抽样基数应 满足抽样要求。抽样过程均需拍照留证。一经抽样，立即封样， 任何人不得调换。</w:t>
      </w:r>
    </w:p>
    <w:p w14:paraId="7294157B">
      <w:pPr>
        <w:spacing w:line="560" w:lineRule="exact"/>
        <w:ind w:firstLine="640" w:firstLineChars="200"/>
        <w:rPr>
          <w:rFonts w:hint="eastAsia" w:ascii="方正仿宋_GBK" w:hAnsi="方正仿宋_GBK" w:eastAsia="方正仿宋_GBK" w:cs="方正仿宋_GBK"/>
          <w:b/>
          <w:color w:val="000000" w:themeColor="text1"/>
          <w:kern w:val="2"/>
          <w:sz w:val="32"/>
          <w:szCs w:val="32"/>
          <w:lang w:eastAsia="zh-CN"/>
        </w:rPr>
      </w:pPr>
      <w:r>
        <w:rPr>
          <w:rFonts w:ascii="方正仿宋_GBK" w:hAnsi="方正仿宋_GBK" w:eastAsia="方正仿宋_GBK" w:cs="方正仿宋_GBK"/>
          <w:b/>
          <w:color w:val="000000" w:themeColor="text1"/>
          <w:kern w:val="2"/>
          <w:sz w:val="32"/>
          <w:szCs w:val="32"/>
          <w:lang w:eastAsia="zh-CN"/>
        </w:rPr>
        <w:t>2.2 电商平台采样</w:t>
      </w:r>
    </w:p>
    <w:p w14:paraId="3609120F">
      <w:pPr>
        <w:pStyle w:val="3"/>
        <w:spacing w:before="0" w:line="560" w:lineRule="exact"/>
        <w:ind w:left="0" w:firstLine="640" w:firstLineChars="200"/>
        <w:rPr>
          <w:rFonts w:hint="eastAsia"/>
          <w:lang w:eastAsia="zh-CN"/>
        </w:rPr>
      </w:pPr>
      <w:r>
        <w:rPr>
          <w:lang w:eastAsia="zh-CN"/>
        </w:rPr>
        <w:t>抽样数量为同一型号</w:t>
      </w:r>
      <w:r>
        <w:rPr>
          <w:spacing w:val="-67"/>
          <w:lang w:eastAsia="zh-CN"/>
        </w:rPr>
        <w:t xml:space="preserve"> </w:t>
      </w:r>
      <w:r>
        <w:rPr>
          <w:lang w:eastAsia="zh-CN"/>
        </w:rPr>
        <w:t>20</w:t>
      </w:r>
      <w:r>
        <w:rPr>
          <w:spacing w:val="-68"/>
          <w:lang w:eastAsia="zh-CN"/>
        </w:rPr>
        <w:t xml:space="preserve"> </w:t>
      </w:r>
      <w:r>
        <w:rPr>
          <w:lang w:eastAsia="zh-CN"/>
        </w:rPr>
        <w:t>个。</w:t>
      </w:r>
    </w:p>
    <w:p w14:paraId="1506A564">
      <w:pPr>
        <w:spacing w:line="600" w:lineRule="exact"/>
        <w:ind w:firstLine="640" w:firstLineChars="200"/>
        <w:jc w:val="both"/>
        <w:outlineLvl w:val="0"/>
        <w:rPr>
          <w:rFonts w:hint="eastAsia" w:ascii="黑体" w:hAnsi="黑体" w:eastAsia="黑体" w:cs="黑体"/>
          <w:bCs/>
          <w:kern w:val="2"/>
          <w:sz w:val="32"/>
          <w:szCs w:val="32"/>
          <w:lang w:eastAsia="zh-CN"/>
        </w:rPr>
      </w:pPr>
      <w:r>
        <w:rPr>
          <w:rFonts w:ascii="黑体" w:hAnsi="黑体" w:eastAsia="黑体" w:cs="黑体"/>
          <w:bCs/>
          <w:kern w:val="2"/>
          <w:sz w:val="32"/>
          <w:szCs w:val="32"/>
          <w:lang w:eastAsia="zh-CN"/>
        </w:rPr>
        <w:t>3.检验依据</w:t>
      </w:r>
    </w:p>
    <w:p w14:paraId="3B039BEF">
      <w:pPr>
        <w:spacing w:before="124" w:after="52"/>
        <w:ind w:left="3092" w:right="217"/>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表 1 婴幼儿奶嘴产品检验项目</w:t>
      </w:r>
    </w:p>
    <w:tbl>
      <w:tblPr>
        <w:tblStyle w:val="17"/>
        <w:tblW w:w="0" w:type="auto"/>
        <w:tblInd w:w="108" w:type="dxa"/>
        <w:tblLayout w:type="fixed"/>
        <w:tblCellMar>
          <w:top w:w="0" w:type="dxa"/>
          <w:left w:w="0" w:type="dxa"/>
          <w:bottom w:w="0" w:type="dxa"/>
          <w:right w:w="0" w:type="dxa"/>
        </w:tblCellMar>
      </w:tblPr>
      <w:tblGrid>
        <w:gridCol w:w="765"/>
        <w:gridCol w:w="3527"/>
        <w:gridCol w:w="2082"/>
        <w:gridCol w:w="2761"/>
      </w:tblGrid>
      <w:tr w14:paraId="61DC1ECC">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481F8EB">
            <w:pPr>
              <w:pStyle w:val="12"/>
              <w:spacing w:before="146"/>
              <w:ind w:right="3"/>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序号</w:t>
            </w:r>
          </w:p>
        </w:tc>
        <w:tc>
          <w:tcPr>
            <w:tcW w:w="3527" w:type="dxa"/>
            <w:tcBorders>
              <w:top w:val="single" w:color="000000" w:sz="4" w:space="0"/>
              <w:left w:val="single" w:color="000000" w:sz="4" w:space="0"/>
              <w:bottom w:val="single" w:color="000000" w:sz="4" w:space="0"/>
              <w:right w:val="single" w:color="000000" w:sz="4" w:space="0"/>
            </w:tcBorders>
            <w:vAlign w:val="center"/>
          </w:tcPr>
          <w:p w14:paraId="593701B9">
            <w:pPr>
              <w:pStyle w:val="12"/>
              <w:spacing w:before="146"/>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检验项目</w:t>
            </w:r>
          </w:p>
        </w:tc>
        <w:tc>
          <w:tcPr>
            <w:tcW w:w="2082" w:type="dxa"/>
            <w:tcBorders>
              <w:top w:val="single" w:color="000000" w:sz="4" w:space="0"/>
              <w:left w:val="single" w:color="000000" w:sz="4" w:space="0"/>
              <w:bottom w:val="single" w:color="000000" w:sz="4" w:space="0"/>
              <w:right w:val="single" w:color="000000" w:sz="4" w:space="0"/>
            </w:tcBorders>
            <w:vAlign w:val="center"/>
          </w:tcPr>
          <w:p w14:paraId="2E49F272">
            <w:pPr>
              <w:pStyle w:val="12"/>
              <w:spacing w:before="146"/>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判定依据</w:t>
            </w:r>
          </w:p>
        </w:tc>
        <w:tc>
          <w:tcPr>
            <w:tcW w:w="2761" w:type="dxa"/>
            <w:tcBorders>
              <w:top w:val="single" w:color="000000" w:sz="4" w:space="0"/>
              <w:left w:val="single" w:color="000000" w:sz="4" w:space="0"/>
              <w:bottom w:val="single" w:color="000000" w:sz="4" w:space="0"/>
              <w:right w:val="single" w:color="000000" w:sz="4" w:space="0"/>
            </w:tcBorders>
            <w:vAlign w:val="center"/>
          </w:tcPr>
          <w:p w14:paraId="65E6C9E4">
            <w:pPr>
              <w:pStyle w:val="12"/>
              <w:spacing w:before="146"/>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检测方法</w:t>
            </w:r>
          </w:p>
        </w:tc>
      </w:tr>
      <w:tr w14:paraId="4B0A2FEE">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965252">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1</w:t>
            </w:r>
          </w:p>
        </w:tc>
        <w:tc>
          <w:tcPr>
            <w:tcW w:w="3527" w:type="dxa"/>
            <w:tcBorders>
              <w:top w:val="single" w:color="000000" w:sz="4" w:space="0"/>
              <w:left w:val="single" w:color="000000" w:sz="4" w:space="0"/>
              <w:bottom w:val="single" w:color="000000" w:sz="4" w:space="0"/>
              <w:right w:val="single" w:color="000000" w:sz="4" w:space="0"/>
            </w:tcBorders>
            <w:vAlign w:val="center"/>
          </w:tcPr>
          <w:p w14:paraId="25E1084E">
            <w:pPr>
              <w:pStyle w:val="12"/>
              <w:spacing w:before="56"/>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感官要求(外观、浸泡液)</w:t>
            </w:r>
          </w:p>
        </w:tc>
        <w:tc>
          <w:tcPr>
            <w:tcW w:w="2082" w:type="dxa"/>
            <w:tcBorders>
              <w:top w:val="single" w:color="000000" w:sz="4" w:space="0"/>
              <w:left w:val="single" w:color="000000" w:sz="4" w:space="0"/>
              <w:bottom w:val="single" w:color="000000" w:sz="4" w:space="0"/>
              <w:right w:val="single" w:color="000000" w:sz="4" w:space="0"/>
            </w:tcBorders>
            <w:vAlign w:val="center"/>
          </w:tcPr>
          <w:p w14:paraId="45085D1F">
            <w:pPr>
              <w:pStyle w:val="12"/>
              <w:spacing w:before="105"/>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6CE93E5C">
            <w:pPr>
              <w:pStyle w:val="12"/>
              <w:spacing w:before="105"/>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r>
      <w:tr w14:paraId="06289EB6">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0DD9580">
            <w:pPr>
              <w:pStyle w:val="12"/>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2</w:t>
            </w:r>
          </w:p>
        </w:tc>
        <w:tc>
          <w:tcPr>
            <w:tcW w:w="3527" w:type="dxa"/>
            <w:tcBorders>
              <w:top w:val="single" w:color="000000" w:sz="4" w:space="0"/>
              <w:left w:val="single" w:color="000000" w:sz="4" w:space="0"/>
              <w:bottom w:val="single" w:color="000000" w:sz="4" w:space="0"/>
              <w:right w:val="single" w:color="000000" w:sz="4" w:space="0"/>
            </w:tcBorders>
            <w:vAlign w:val="center"/>
          </w:tcPr>
          <w:p w14:paraId="2FBD39C0">
            <w:pPr>
              <w:pStyle w:val="12"/>
              <w:spacing w:line="277" w:lineRule="exact"/>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总迁移量（蒸馏水，40℃，24h）</w:t>
            </w:r>
          </w:p>
        </w:tc>
        <w:tc>
          <w:tcPr>
            <w:tcW w:w="2082" w:type="dxa"/>
            <w:tcBorders>
              <w:top w:val="single" w:color="000000" w:sz="4" w:space="0"/>
              <w:left w:val="single" w:color="000000" w:sz="4" w:space="0"/>
              <w:bottom w:val="single" w:color="000000" w:sz="4" w:space="0"/>
              <w:right w:val="single" w:color="000000" w:sz="4" w:space="0"/>
            </w:tcBorders>
            <w:vAlign w:val="center"/>
          </w:tcPr>
          <w:p w14:paraId="095D43F5">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5A04D33D">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w:t>
            </w:r>
            <w:r>
              <w:rPr>
                <w:rFonts w:hint="eastAsia" w:ascii="方正仿宋_GBK" w:hAnsi="方正仿宋_GBK" w:eastAsia="方正仿宋_GBK" w:cs="方正仿宋_GBK"/>
                <w:spacing w:val="-1"/>
                <w:w w:val="95"/>
                <w:sz w:val="24"/>
                <w:szCs w:val="24"/>
                <w:lang w:eastAsia="zh-CN"/>
              </w:rPr>
              <w:t xml:space="preserve"> 31604.8-2021</w:t>
            </w:r>
          </w:p>
        </w:tc>
      </w:tr>
      <w:tr w14:paraId="4E9AC1DD">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F5D4D89">
            <w:pPr>
              <w:pStyle w:val="12"/>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3</w:t>
            </w:r>
          </w:p>
        </w:tc>
        <w:tc>
          <w:tcPr>
            <w:tcW w:w="3527" w:type="dxa"/>
            <w:tcBorders>
              <w:top w:val="single" w:color="000000" w:sz="4" w:space="0"/>
              <w:left w:val="single" w:color="000000" w:sz="4" w:space="0"/>
              <w:bottom w:val="single" w:color="000000" w:sz="4" w:space="0"/>
              <w:right w:val="single" w:color="000000" w:sz="4" w:space="0"/>
            </w:tcBorders>
            <w:vAlign w:val="center"/>
          </w:tcPr>
          <w:p w14:paraId="19745B10">
            <w:pPr>
              <w:pStyle w:val="12"/>
              <w:spacing w:line="276" w:lineRule="exact"/>
              <w:ind w:left="20"/>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总迁移量（4%（体积分数）乙酸，40℃，24h）</w:t>
            </w:r>
          </w:p>
        </w:tc>
        <w:tc>
          <w:tcPr>
            <w:tcW w:w="2082" w:type="dxa"/>
            <w:tcBorders>
              <w:top w:val="single" w:color="000000" w:sz="4" w:space="0"/>
              <w:left w:val="single" w:color="000000" w:sz="4" w:space="0"/>
              <w:bottom w:val="single" w:color="000000" w:sz="4" w:space="0"/>
              <w:right w:val="single" w:color="000000" w:sz="4" w:space="0"/>
            </w:tcBorders>
            <w:vAlign w:val="center"/>
          </w:tcPr>
          <w:p w14:paraId="1FD62392">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751F58B3">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w:t>
            </w:r>
            <w:r>
              <w:rPr>
                <w:rFonts w:hint="eastAsia" w:ascii="方正仿宋_GBK" w:hAnsi="方正仿宋_GBK" w:eastAsia="方正仿宋_GBK" w:cs="方正仿宋_GBK"/>
                <w:spacing w:val="-1"/>
                <w:w w:val="95"/>
                <w:sz w:val="24"/>
                <w:szCs w:val="24"/>
                <w:lang w:eastAsia="zh-CN"/>
              </w:rPr>
              <w:t xml:space="preserve"> 31604.8-2021</w:t>
            </w:r>
          </w:p>
        </w:tc>
      </w:tr>
      <w:tr w14:paraId="20567210">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20C186C">
            <w:pPr>
              <w:pStyle w:val="12"/>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4</w:t>
            </w:r>
          </w:p>
        </w:tc>
        <w:tc>
          <w:tcPr>
            <w:tcW w:w="3527" w:type="dxa"/>
            <w:tcBorders>
              <w:top w:val="single" w:color="000000" w:sz="4" w:space="0"/>
              <w:left w:val="single" w:color="000000" w:sz="4" w:space="0"/>
              <w:bottom w:val="single" w:color="000000" w:sz="4" w:space="0"/>
              <w:right w:val="single" w:color="000000" w:sz="4" w:space="0"/>
            </w:tcBorders>
            <w:vAlign w:val="center"/>
          </w:tcPr>
          <w:p w14:paraId="4511B89B">
            <w:pPr>
              <w:pStyle w:val="12"/>
              <w:spacing w:line="276" w:lineRule="exact"/>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总迁移量（50%(体积分数)乙醇，40℃，24h）</w:t>
            </w:r>
          </w:p>
        </w:tc>
        <w:tc>
          <w:tcPr>
            <w:tcW w:w="2082" w:type="dxa"/>
            <w:tcBorders>
              <w:top w:val="single" w:color="000000" w:sz="4" w:space="0"/>
              <w:left w:val="single" w:color="000000" w:sz="4" w:space="0"/>
              <w:bottom w:val="single" w:color="000000" w:sz="4" w:space="0"/>
              <w:right w:val="single" w:color="000000" w:sz="4" w:space="0"/>
            </w:tcBorders>
            <w:vAlign w:val="center"/>
          </w:tcPr>
          <w:p w14:paraId="53E3F630">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6B686E25">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w:t>
            </w:r>
            <w:r>
              <w:rPr>
                <w:rFonts w:hint="eastAsia" w:ascii="方正仿宋_GBK" w:hAnsi="方正仿宋_GBK" w:eastAsia="方正仿宋_GBK" w:cs="方正仿宋_GBK"/>
                <w:spacing w:val="-1"/>
                <w:w w:val="95"/>
                <w:sz w:val="24"/>
                <w:szCs w:val="24"/>
                <w:lang w:eastAsia="zh-CN"/>
              </w:rPr>
              <w:t xml:space="preserve"> 31604.8-2021</w:t>
            </w:r>
          </w:p>
        </w:tc>
      </w:tr>
      <w:tr w14:paraId="0B5A8176">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F628397">
            <w:pPr>
              <w:pStyle w:val="12"/>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5</w:t>
            </w:r>
          </w:p>
        </w:tc>
        <w:tc>
          <w:tcPr>
            <w:tcW w:w="3527" w:type="dxa"/>
            <w:tcBorders>
              <w:top w:val="single" w:color="000000" w:sz="4" w:space="0"/>
              <w:left w:val="single" w:color="000000" w:sz="4" w:space="0"/>
              <w:bottom w:val="single" w:color="000000" w:sz="4" w:space="0"/>
              <w:right w:val="single" w:color="000000" w:sz="4" w:space="0"/>
            </w:tcBorders>
            <w:vAlign w:val="center"/>
          </w:tcPr>
          <w:p w14:paraId="715EFF09">
            <w:pPr>
              <w:pStyle w:val="12"/>
              <w:spacing w:line="260" w:lineRule="exact"/>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高锰酸钾消耗量（蒸馏水，40℃，24h）</w:t>
            </w:r>
          </w:p>
        </w:tc>
        <w:tc>
          <w:tcPr>
            <w:tcW w:w="2082" w:type="dxa"/>
            <w:tcBorders>
              <w:top w:val="single" w:color="000000" w:sz="4" w:space="0"/>
              <w:left w:val="single" w:color="000000" w:sz="4" w:space="0"/>
              <w:bottom w:val="single" w:color="000000" w:sz="4" w:space="0"/>
              <w:right w:val="single" w:color="000000" w:sz="4" w:space="0"/>
            </w:tcBorders>
            <w:vAlign w:val="center"/>
          </w:tcPr>
          <w:p w14:paraId="646AEB89">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74DADCEE">
            <w:pPr>
              <w:pStyle w:val="12"/>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31604.2-2016</w:t>
            </w:r>
          </w:p>
        </w:tc>
      </w:tr>
    </w:tbl>
    <w:p w14:paraId="2A254E08">
      <w:pPr>
        <w:jc w:val="center"/>
        <w:rPr>
          <w:rFonts w:ascii="Times New Roman" w:hAnsi="Times New Roman" w:eastAsia="Times New Roman" w:cs="Times New Roman"/>
          <w:sz w:val="21"/>
          <w:szCs w:val="21"/>
        </w:rPr>
        <w:sectPr>
          <w:pgSz w:w="11910" w:h="16840"/>
          <w:pgMar w:top="1580" w:right="1240" w:bottom="280" w:left="1300" w:header="720" w:footer="720" w:gutter="0"/>
          <w:cols w:space="720" w:num="1"/>
        </w:sectPr>
      </w:pPr>
    </w:p>
    <w:tbl>
      <w:tblPr>
        <w:tblStyle w:val="17"/>
        <w:tblW w:w="0" w:type="auto"/>
        <w:tblInd w:w="108" w:type="dxa"/>
        <w:tblLayout w:type="fixed"/>
        <w:tblCellMar>
          <w:top w:w="0" w:type="dxa"/>
          <w:left w:w="0" w:type="dxa"/>
          <w:bottom w:w="0" w:type="dxa"/>
          <w:right w:w="0" w:type="dxa"/>
        </w:tblCellMar>
      </w:tblPr>
      <w:tblGrid>
        <w:gridCol w:w="765"/>
        <w:gridCol w:w="2960"/>
        <w:gridCol w:w="2649"/>
        <w:gridCol w:w="2761"/>
      </w:tblGrid>
      <w:tr w14:paraId="7EBDDD06">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742F4B4A">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6</w:t>
            </w:r>
          </w:p>
        </w:tc>
        <w:tc>
          <w:tcPr>
            <w:tcW w:w="2960" w:type="dxa"/>
            <w:tcBorders>
              <w:top w:val="single" w:color="000000" w:sz="4" w:space="0"/>
              <w:left w:val="single" w:color="000000" w:sz="4" w:space="0"/>
              <w:bottom w:val="single" w:color="000000" w:sz="4" w:space="0"/>
              <w:right w:val="single" w:color="000000" w:sz="4" w:space="0"/>
            </w:tcBorders>
            <w:vAlign w:val="center"/>
          </w:tcPr>
          <w:p w14:paraId="55685389">
            <w:pPr>
              <w:pStyle w:val="12"/>
              <w:spacing w:before="105" w:line="277" w:lineRule="exact"/>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重金属（以铅计）（4%（体积分数）乙酸，40℃，24h）</w:t>
            </w:r>
          </w:p>
        </w:tc>
        <w:tc>
          <w:tcPr>
            <w:tcW w:w="2649" w:type="dxa"/>
            <w:tcBorders>
              <w:top w:val="single" w:color="000000" w:sz="4" w:space="0"/>
              <w:left w:val="single" w:color="000000" w:sz="4" w:space="0"/>
              <w:bottom w:val="single" w:color="000000" w:sz="4" w:space="0"/>
              <w:right w:val="single" w:color="000000" w:sz="4" w:space="0"/>
            </w:tcBorders>
            <w:vAlign w:val="center"/>
          </w:tcPr>
          <w:p w14:paraId="1E59A023">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6F6131BC">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31604.9-2016</w:t>
            </w:r>
          </w:p>
        </w:tc>
      </w:tr>
      <w:tr w14:paraId="5D97C7A1">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54D52664">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7</w:t>
            </w:r>
          </w:p>
        </w:tc>
        <w:tc>
          <w:tcPr>
            <w:tcW w:w="2960" w:type="dxa"/>
            <w:tcBorders>
              <w:top w:val="single" w:color="000000" w:sz="4" w:space="0"/>
              <w:left w:val="single" w:color="000000" w:sz="4" w:space="0"/>
              <w:bottom w:val="single" w:color="000000" w:sz="4" w:space="0"/>
              <w:right w:val="single" w:color="000000" w:sz="4" w:space="0"/>
            </w:tcBorders>
            <w:vAlign w:val="center"/>
          </w:tcPr>
          <w:p w14:paraId="102EA3DF">
            <w:pPr>
              <w:pStyle w:val="12"/>
              <w:spacing w:before="105" w:line="276" w:lineRule="exact"/>
              <w:ind w:right="1" w:hanging="77"/>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锌（Zn）迁移量（4%（体积分数）乙酸，40℃，24h）</w:t>
            </w:r>
          </w:p>
        </w:tc>
        <w:tc>
          <w:tcPr>
            <w:tcW w:w="2649" w:type="dxa"/>
            <w:tcBorders>
              <w:top w:val="single" w:color="000000" w:sz="4" w:space="0"/>
              <w:left w:val="single" w:color="000000" w:sz="4" w:space="0"/>
              <w:bottom w:val="single" w:color="000000" w:sz="4" w:space="0"/>
              <w:right w:val="single" w:color="000000" w:sz="4" w:space="0"/>
            </w:tcBorders>
            <w:vAlign w:val="center"/>
          </w:tcPr>
          <w:p w14:paraId="685157CF">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13A28A13">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31604.42-2016</w:t>
            </w:r>
          </w:p>
        </w:tc>
      </w:tr>
      <w:tr w14:paraId="5C669425">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2D24554">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8</w:t>
            </w:r>
          </w:p>
        </w:tc>
        <w:tc>
          <w:tcPr>
            <w:tcW w:w="2960" w:type="dxa"/>
            <w:tcBorders>
              <w:top w:val="single" w:color="000000" w:sz="4" w:space="0"/>
              <w:left w:val="single" w:color="000000" w:sz="4" w:space="0"/>
              <w:bottom w:val="single" w:color="000000" w:sz="4" w:space="0"/>
              <w:right w:val="single" w:color="000000" w:sz="4" w:space="0"/>
            </w:tcBorders>
            <w:vAlign w:val="center"/>
          </w:tcPr>
          <w:p w14:paraId="77BA792F">
            <w:pPr>
              <w:pStyle w:val="12"/>
              <w:spacing w:before="105" w:line="276" w:lineRule="exact"/>
              <w:ind w:right="1" w:firstLine="33"/>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2,6-二-叔丁基对甲苯酚迁移量</w:t>
            </w:r>
            <w:r>
              <w:rPr>
                <w:rFonts w:ascii="方正仿宋_GBK" w:hAnsi="方正仿宋_GBK" w:eastAsia="方正仿宋_GBK" w:cs="方正仿宋_GBK"/>
                <w:spacing w:val="-1"/>
                <w:w w:val="95"/>
                <w:sz w:val="24"/>
                <w:szCs w:val="24"/>
                <w:vertAlign w:val="superscript"/>
                <w:lang w:eastAsia="zh-CN"/>
              </w:rPr>
              <w:t>a</w:t>
            </w:r>
            <w:r>
              <w:rPr>
                <w:rFonts w:hint="eastAsia" w:ascii="方正仿宋_GBK" w:hAnsi="方正仿宋_GBK" w:eastAsia="方正仿宋_GBK" w:cs="方正仿宋_GBK"/>
                <w:spacing w:val="-1"/>
                <w:w w:val="95"/>
                <w:sz w:val="24"/>
                <w:szCs w:val="24"/>
                <w:vertAlign w:val="superscript"/>
                <w:lang w:eastAsia="zh-CN"/>
              </w:rPr>
              <w:t xml:space="preserve"> </w:t>
            </w:r>
            <w:r>
              <w:rPr>
                <w:rFonts w:hint="eastAsia" w:ascii="方正仿宋_GBK" w:hAnsi="方正仿宋_GBK" w:eastAsia="方正仿宋_GBK" w:cs="方正仿宋_GBK"/>
                <w:spacing w:val="-1"/>
                <w:w w:val="95"/>
                <w:sz w:val="24"/>
                <w:szCs w:val="24"/>
                <w:lang w:eastAsia="zh-CN"/>
              </w:rPr>
              <w:t>(</w:t>
            </w:r>
            <w:r>
              <w:rPr>
                <w:rFonts w:ascii="方正仿宋_GBK" w:hAnsi="方正仿宋_GBK" w:eastAsia="方正仿宋_GBK" w:cs="方正仿宋_GBK"/>
                <w:spacing w:val="-1"/>
                <w:w w:val="95"/>
                <w:sz w:val="24"/>
                <w:szCs w:val="24"/>
                <w:lang w:eastAsia="zh-CN"/>
              </w:rPr>
              <w:t>模拟液和迁移条件同总 迁移量）</w:t>
            </w:r>
          </w:p>
        </w:tc>
        <w:tc>
          <w:tcPr>
            <w:tcW w:w="2649" w:type="dxa"/>
            <w:tcBorders>
              <w:top w:val="single" w:color="000000" w:sz="4" w:space="0"/>
              <w:left w:val="single" w:color="000000" w:sz="4" w:space="0"/>
              <w:bottom w:val="single" w:color="000000" w:sz="4" w:space="0"/>
              <w:right w:val="single" w:color="000000" w:sz="4" w:space="0"/>
            </w:tcBorders>
            <w:vAlign w:val="center"/>
          </w:tcPr>
          <w:p w14:paraId="47C7FFD4">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5EAE3650">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28482-2012</w:t>
            </w:r>
          </w:p>
        </w:tc>
      </w:tr>
      <w:tr w14:paraId="30A4CED9">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664E3DA9">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9</w:t>
            </w:r>
          </w:p>
        </w:tc>
        <w:tc>
          <w:tcPr>
            <w:tcW w:w="2960" w:type="dxa"/>
            <w:tcBorders>
              <w:top w:val="single" w:color="000000" w:sz="4" w:space="0"/>
              <w:left w:val="single" w:color="000000" w:sz="4" w:space="0"/>
              <w:bottom w:val="single" w:color="000000" w:sz="4" w:space="0"/>
              <w:right w:val="single" w:color="000000" w:sz="4" w:space="0"/>
            </w:tcBorders>
            <w:vAlign w:val="center"/>
          </w:tcPr>
          <w:p w14:paraId="62A05DA6">
            <w:pPr>
              <w:pStyle w:val="12"/>
              <w:spacing w:before="105" w:line="276" w:lineRule="exact"/>
              <w:ind w:right="1" w:firstLine="7"/>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2,2’-亚甲基双-（4-甲基-6 叔丁基苯酚）迁移量</w:t>
            </w:r>
            <w:r>
              <w:rPr>
                <w:rFonts w:ascii="方正仿宋_GBK" w:hAnsi="方正仿宋_GBK" w:eastAsia="方正仿宋_GBK" w:cs="方正仿宋_GBK"/>
                <w:spacing w:val="-1"/>
                <w:w w:val="95"/>
                <w:sz w:val="24"/>
                <w:szCs w:val="24"/>
                <w:vertAlign w:val="superscript"/>
                <w:lang w:eastAsia="zh-CN"/>
              </w:rPr>
              <w:t xml:space="preserve"> a</w:t>
            </w:r>
            <w:r>
              <w:rPr>
                <w:rFonts w:ascii="方正仿宋_GBK" w:hAnsi="方正仿宋_GBK" w:eastAsia="方正仿宋_GBK" w:cs="方正仿宋_GBK"/>
                <w:spacing w:val="-1"/>
                <w:w w:val="95"/>
                <w:sz w:val="24"/>
                <w:szCs w:val="24"/>
                <w:lang w:eastAsia="zh-CN"/>
              </w:rPr>
              <w:t>（模拟液 和迁移条件同总迁移量）</w:t>
            </w:r>
          </w:p>
        </w:tc>
        <w:tc>
          <w:tcPr>
            <w:tcW w:w="2649" w:type="dxa"/>
            <w:tcBorders>
              <w:top w:val="single" w:color="000000" w:sz="4" w:space="0"/>
              <w:left w:val="single" w:color="000000" w:sz="4" w:space="0"/>
              <w:bottom w:val="single" w:color="000000" w:sz="4" w:space="0"/>
              <w:right w:val="single" w:color="000000" w:sz="4" w:space="0"/>
            </w:tcBorders>
            <w:vAlign w:val="center"/>
          </w:tcPr>
          <w:p w14:paraId="3D35A0AA">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4D618129">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28482-2012</w:t>
            </w:r>
          </w:p>
        </w:tc>
      </w:tr>
      <w:tr w14:paraId="686C7E24">
        <w:tblPrEx>
          <w:tblCellMar>
            <w:top w:w="0" w:type="dxa"/>
            <w:left w:w="0" w:type="dxa"/>
            <w:bottom w:w="0" w:type="dxa"/>
            <w:right w:w="0"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3DA02337">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10</w:t>
            </w:r>
          </w:p>
        </w:tc>
        <w:tc>
          <w:tcPr>
            <w:tcW w:w="2960" w:type="dxa"/>
            <w:tcBorders>
              <w:top w:val="single" w:color="000000" w:sz="4" w:space="0"/>
              <w:left w:val="single" w:color="000000" w:sz="4" w:space="0"/>
              <w:bottom w:val="single" w:color="000000" w:sz="4" w:space="0"/>
              <w:right w:val="single" w:color="000000" w:sz="4" w:space="0"/>
            </w:tcBorders>
            <w:vAlign w:val="center"/>
          </w:tcPr>
          <w:p w14:paraId="4373BA4A">
            <w:pPr>
              <w:pStyle w:val="12"/>
              <w:spacing w:before="56"/>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挥发性物质</w:t>
            </w:r>
            <w:r>
              <w:rPr>
                <w:rFonts w:ascii="方正仿宋_GBK" w:hAnsi="方正仿宋_GBK" w:eastAsia="方正仿宋_GBK" w:cs="方正仿宋_GBK"/>
                <w:spacing w:val="-1"/>
                <w:w w:val="95"/>
                <w:sz w:val="24"/>
                <w:szCs w:val="24"/>
                <w:vertAlign w:val="superscript"/>
                <w:lang w:eastAsia="zh-CN"/>
              </w:rPr>
              <w:t xml:space="preserve"> b</w:t>
            </w:r>
          </w:p>
        </w:tc>
        <w:tc>
          <w:tcPr>
            <w:tcW w:w="2649" w:type="dxa"/>
            <w:tcBorders>
              <w:top w:val="single" w:color="000000" w:sz="4" w:space="0"/>
              <w:left w:val="single" w:color="000000" w:sz="4" w:space="0"/>
              <w:bottom w:val="single" w:color="000000" w:sz="4" w:space="0"/>
              <w:right w:val="single" w:color="000000" w:sz="4" w:space="0"/>
            </w:tcBorders>
            <w:vAlign w:val="center"/>
          </w:tcPr>
          <w:p w14:paraId="49BE8365">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4806.2-2015</w:t>
            </w:r>
          </w:p>
        </w:tc>
        <w:tc>
          <w:tcPr>
            <w:tcW w:w="2761" w:type="dxa"/>
            <w:tcBorders>
              <w:top w:val="single" w:color="000000" w:sz="4" w:space="0"/>
              <w:left w:val="single" w:color="000000" w:sz="4" w:space="0"/>
              <w:bottom w:val="single" w:color="000000" w:sz="4" w:space="0"/>
              <w:right w:val="single" w:color="000000" w:sz="4" w:space="0"/>
            </w:tcBorders>
            <w:vAlign w:val="center"/>
          </w:tcPr>
          <w:p w14:paraId="2CC3A3B7">
            <w:pPr>
              <w:pStyle w:val="12"/>
              <w:spacing w:before="105"/>
              <w:ind w:right="1"/>
              <w:jc w:val="center"/>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GB 28482-2012</w:t>
            </w:r>
          </w:p>
        </w:tc>
      </w:tr>
      <w:tr w14:paraId="537BDDB4">
        <w:tblPrEx>
          <w:tblCellMar>
            <w:top w:w="0" w:type="dxa"/>
            <w:left w:w="0" w:type="dxa"/>
            <w:bottom w:w="0" w:type="dxa"/>
            <w:right w:w="0" w:type="dxa"/>
          </w:tblCellMar>
        </w:tblPrEx>
        <w:trPr>
          <w:trHeight w:val="567" w:hRule="atLeast"/>
        </w:trPr>
        <w:tc>
          <w:tcPr>
            <w:tcW w:w="9135" w:type="dxa"/>
            <w:gridSpan w:val="4"/>
            <w:tcBorders>
              <w:top w:val="single" w:color="000000" w:sz="4" w:space="0"/>
              <w:left w:val="single" w:color="000000" w:sz="4" w:space="0"/>
              <w:bottom w:val="single" w:color="000000" w:sz="4" w:space="0"/>
              <w:right w:val="single" w:color="000000" w:sz="4" w:space="0"/>
            </w:tcBorders>
          </w:tcPr>
          <w:p w14:paraId="2530230A">
            <w:pPr>
              <w:pStyle w:val="12"/>
              <w:spacing w:before="11"/>
              <w:ind w:left="103"/>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备注：</w:t>
            </w:r>
          </w:p>
          <w:p w14:paraId="42BD090E">
            <w:pPr>
              <w:pStyle w:val="12"/>
              <w:spacing w:before="38"/>
              <w:ind w:left="103"/>
              <w:rPr>
                <w:rFonts w:hint="eastAsia" w:ascii="方正仿宋_GBK" w:hAnsi="方正仿宋_GBK" w:eastAsia="方正仿宋_GBK" w:cs="方正仿宋_GBK"/>
                <w:spacing w:val="-1"/>
                <w:w w:val="95"/>
                <w:sz w:val="24"/>
                <w:szCs w:val="24"/>
                <w:lang w:eastAsia="zh-CN"/>
              </w:rPr>
            </w:pPr>
            <w:r>
              <w:rPr>
                <w:rFonts w:ascii="方正仿宋_GBK" w:hAnsi="方正仿宋_GBK" w:eastAsia="方正仿宋_GBK" w:cs="方正仿宋_GBK"/>
                <w:spacing w:val="-1"/>
                <w:w w:val="95"/>
                <w:sz w:val="24"/>
                <w:szCs w:val="24"/>
                <w:lang w:eastAsia="zh-CN"/>
              </w:rPr>
              <w:t>a：该项目仅适用于天然橡胶、顺式-1，4-聚异戊二烯橡胶奶嘴；</w:t>
            </w:r>
          </w:p>
          <w:p w14:paraId="6911306E">
            <w:pPr>
              <w:pStyle w:val="12"/>
              <w:spacing w:before="12"/>
              <w:ind w:left="103"/>
              <w:rPr>
                <w:rFonts w:hint="eastAsia" w:ascii="仿宋" w:hAnsi="仿宋" w:eastAsia="仿宋" w:cs="宋体"/>
                <w:sz w:val="24"/>
                <w:szCs w:val="24"/>
                <w:lang w:eastAsia="zh-CN"/>
              </w:rPr>
            </w:pPr>
            <w:r>
              <w:rPr>
                <w:rFonts w:ascii="方正仿宋_GBK" w:hAnsi="方正仿宋_GBK" w:eastAsia="方正仿宋_GBK" w:cs="方正仿宋_GBK"/>
                <w:spacing w:val="-1"/>
                <w:w w:val="95"/>
                <w:sz w:val="24"/>
                <w:szCs w:val="24"/>
                <w:lang w:eastAsia="zh-CN"/>
              </w:rPr>
              <w:t>b：该项目仅适用于硅橡胶奶嘴。</w:t>
            </w:r>
          </w:p>
        </w:tc>
      </w:tr>
    </w:tbl>
    <w:p w14:paraId="51F511E4">
      <w:pPr>
        <w:spacing w:before="12"/>
        <w:rPr>
          <w:rFonts w:hint="eastAsia" w:ascii="宋体" w:hAnsi="宋体" w:eastAsia="宋体" w:cs="宋体"/>
          <w:sz w:val="7"/>
          <w:szCs w:val="7"/>
          <w:lang w:eastAsia="zh-CN"/>
        </w:rPr>
      </w:pPr>
    </w:p>
    <w:p w14:paraId="41BC26F4">
      <w:pPr>
        <w:pStyle w:val="3"/>
        <w:spacing w:before="0" w:line="560" w:lineRule="exact"/>
        <w:ind w:left="0"/>
        <w:rPr>
          <w:rFonts w:hint="eastAsia"/>
          <w:lang w:eastAsia="zh-CN"/>
        </w:rPr>
      </w:pPr>
      <w:r>
        <w:rPr>
          <w:lang w:eastAsia="zh-CN"/>
        </w:rPr>
        <w:t>检验方法包括相关产品标准及试验方法标准。</w:t>
      </w:r>
    </w:p>
    <w:p w14:paraId="6A2F3149">
      <w:pPr>
        <w:pStyle w:val="3"/>
        <w:spacing w:before="0" w:line="560" w:lineRule="exact"/>
        <w:ind w:left="0" w:firstLine="640"/>
        <w:rPr>
          <w:rFonts w:hint="eastAsia"/>
          <w:lang w:eastAsia="zh-CN"/>
        </w:rPr>
      </w:pPr>
      <w:r>
        <w:rPr>
          <w:spacing w:val="-1"/>
          <w:w w:val="95"/>
          <w:lang w:eastAsia="zh-CN"/>
        </w:rPr>
        <w:t>凡是注日期的文件，其随后所有的修改单（不包括勘误的内容）或修订版不适用于本细则。凡是不注日期的文件，其最新版</w:t>
      </w:r>
      <w:r>
        <w:rPr>
          <w:w w:val="95"/>
          <w:lang w:eastAsia="zh-CN"/>
        </w:rPr>
        <w:t xml:space="preserve"> </w:t>
      </w:r>
      <w:r>
        <w:rPr>
          <w:lang w:eastAsia="zh-CN"/>
        </w:rPr>
        <w:t>本适用于本细则。</w:t>
      </w:r>
    </w:p>
    <w:p w14:paraId="2F82A4C6">
      <w:pPr>
        <w:spacing w:line="600" w:lineRule="exact"/>
        <w:ind w:firstLine="640" w:firstLineChars="200"/>
        <w:jc w:val="both"/>
        <w:outlineLvl w:val="0"/>
        <w:rPr>
          <w:rFonts w:hint="eastAsia" w:ascii="黑体" w:hAnsi="黑体" w:eastAsia="黑体" w:cs="黑体"/>
          <w:bCs/>
          <w:kern w:val="2"/>
          <w:sz w:val="32"/>
          <w:szCs w:val="32"/>
          <w:lang w:eastAsia="zh-CN"/>
        </w:rPr>
      </w:pPr>
      <w:r>
        <w:rPr>
          <w:rFonts w:ascii="黑体" w:hAnsi="黑体" w:eastAsia="黑体" w:cs="黑体"/>
          <w:bCs/>
          <w:kern w:val="2"/>
          <w:sz w:val="32"/>
          <w:szCs w:val="32"/>
          <w:lang w:eastAsia="zh-CN"/>
        </w:rPr>
        <w:t>4.判定规则</w:t>
      </w:r>
    </w:p>
    <w:p w14:paraId="41F7FEF2">
      <w:pPr>
        <w:widowControl/>
        <w:spacing w:line="560" w:lineRule="exact"/>
        <w:ind w:firstLine="640" w:firstLineChars="200"/>
        <w:rPr>
          <w:rFonts w:hint="eastAsia" w:ascii="方正仿宋_GBK" w:hAnsi="方正仿宋_GBK" w:eastAsia="方正仿宋_GBK" w:cs="方正仿宋_GBK"/>
          <w:b/>
          <w:kern w:val="2"/>
          <w:sz w:val="32"/>
          <w:szCs w:val="32"/>
          <w:lang w:eastAsia="zh-CN"/>
        </w:rPr>
      </w:pPr>
      <w:r>
        <w:rPr>
          <w:rFonts w:ascii="方正仿宋_GBK" w:hAnsi="方正仿宋_GBK" w:eastAsia="方正仿宋_GBK" w:cs="方正仿宋_GBK"/>
          <w:b/>
          <w:kern w:val="2"/>
          <w:sz w:val="32"/>
          <w:szCs w:val="32"/>
          <w:lang w:eastAsia="zh-CN"/>
        </w:rPr>
        <w:t>4.1 依据标准</w:t>
      </w:r>
    </w:p>
    <w:p w14:paraId="61FC5A89">
      <w:pPr>
        <w:pStyle w:val="3"/>
        <w:spacing w:before="0" w:line="560" w:lineRule="exact"/>
        <w:ind w:left="0" w:firstLine="640" w:firstLineChars="200"/>
        <w:rPr>
          <w:rFonts w:hint="eastAsia"/>
          <w:lang w:eastAsia="zh-CN"/>
        </w:rPr>
      </w:pPr>
      <w:r>
        <w:rPr>
          <w:lang w:eastAsia="zh-CN"/>
        </w:rPr>
        <w:t>GB 4806.2-2015《食品安全国家标准 奶嘴》</w:t>
      </w:r>
    </w:p>
    <w:p w14:paraId="292A24B2">
      <w:pPr>
        <w:pStyle w:val="3"/>
        <w:spacing w:before="0" w:line="560" w:lineRule="exact"/>
        <w:ind w:left="0" w:firstLine="640" w:firstLineChars="200"/>
        <w:rPr>
          <w:rFonts w:hint="eastAsia"/>
          <w:lang w:eastAsia="zh-CN"/>
        </w:rPr>
      </w:pPr>
      <w:r>
        <w:rPr>
          <w:lang w:eastAsia="zh-CN"/>
        </w:rPr>
        <w:t>GB</w:t>
      </w:r>
      <w:r>
        <w:rPr>
          <w:spacing w:val="-12"/>
          <w:lang w:eastAsia="zh-CN"/>
        </w:rPr>
        <w:t xml:space="preserve"> </w:t>
      </w:r>
      <w:r>
        <w:rPr>
          <w:lang w:eastAsia="zh-CN"/>
        </w:rPr>
        <w:t>28482-2012《婴幼儿安抚奶嘴安全要求》</w:t>
      </w:r>
    </w:p>
    <w:p w14:paraId="50CE7BDB">
      <w:pPr>
        <w:pStyle w:val="3"/>
        <w:spacing w:before="0" w:line="560" w:lineRule="exact"/>
        <w:ind w:left="0" w:firstLine="640"/>
        <w:rPr>
          <w:rFonts w:hint="eastAsia"/>
          <w:lang w:eastAsia="zh-CN"/>
        </w:rPr>
      </w:pPr>
      <w:r>
        <w:rPr>
          <w:lang w:eastAsia="zh-CN"/>
        </w:rPr>
        <w:t>GB 31604.2-2016《食品安全国家标准 食品接触材料及制品 高锰酸钾消耗量的测定》</w:t>
      </w:r>
    </w:p>
    <w:p w14:paraId="1C726D6F">
      <w:pPr>
        <w:pStyle w:val="3"/>
        <w:spacing w:before="0" w:line="560" w:lineRule="exact"/>
        <w:ind w:left="0" w:firstLine="640"/>
        <w:rPr>
          <w:rFonts w:hint="eastAsia"/>
          <w:lang w:eastAsia="zh-CN"/>
        </w:rPr>
      </w:pPr>
      <w:r>
        <w:rPr>
          <w:lang w:eastAsia="zh-CN"/>
        </w:rPr>
        <w:t>GB 31604.8-2021《食品安全国家标准 食品接触材料及制品 总迁移量的测定》</w:t>
      </w:r>
    </w:p>
    <w:p w14:paraId="6CDCEBE0">
      <w:pPr>
        <w:pStyle w:val="3"/>
        <w:spacing w:before="0" w:line="560" w:lineRule="exact"/>
        <w:ind w:left="0" w:firstLine="640"/>
        <w:rPr>
          <w:rFonts w:hint="eastAsia"/>
          <w:lang w:eastAsia="zh-CN"/>
        </w:rPr>
      </w:pPr>
      <w:r>
        <w:rPr>
          <w:lang w:eastAsia="zh-CN"/>
        </w:rPr>
        <w:t>GB 31604.9-2016《食品安全国家标准 食品接触材料及制品 食品模拟物中重金属的测定》</w:t>
      </w:r>
    </w:p>
    <w:p w14:paraId="7251E52F">
      <w:pPr>
        <w:pStyle w:val="3"/>
        <w:spacing w:before="0" w:line="560" w:lineRule="exact"/>
        <w:ind w:left="0" w:firstLine="640"/>
        <w:rPr>
          <w:rFonts w:hint="eastAsia"/>
          <w:lang w:eastAsia="zh-CN"/>
        </w:rPr>
      </w:pPr>
      <w:r>
        <w:rPr>
          <w:lang w:eastAsia="zh-CN"/>
        </w:rPr>
        <w:t xml:space="preserve">GB </w:t>
      </w:r>
      <w:r>
        <w:rPr>
          <w:spacing w:val="-5"/>
          <w:lang w:eastAsia="zh-CN"/>
        </w:rPr>
        <w:t>31604.42-2016《食品安全国家标准</w:t>
      </w:r>
      <w:r>
        <w:rPr>
          <w:spacing w:val="-47"/>
          <w:lang w:eastAsia="zh-CN"/>
        </w:rPr>
        <w:t xml:space="preserve"> </w:t>
      </w:r>
      <w:r>
        <w:rPr>
          <w:lang w:eastAsia="zh-CN"/>
        </w:rPr>
        <w:t>食品接触材料及制品 锌迁移量的测定》</w:t>
      </w:r>
    </w:p>
    <w:p w14:paraId="4AD2432B">
      <w:pPr>
        <w:spacing w:line="560" w:lineRule="exact"/>
        <w:rPr>
          <w:lang w:eastAsia="zh-CN"/>
        </w:rPr>
        <w:sectPr>
          <w:pgSz w:w="11910" w:h="16840"/>
          <w:pgMar w:top="1420" w:right="1240" w:bottom="280" w:left="1300" w:header="720" w:footer="720" w:gutter="0"/>
          <w:cols w:space="720" w:num="1"/>
        </w:sectPr>
      </w:pPr>
    </w:p>
    <w:p w14:paraId="7F67B5A3">
      <w:pPr>
        <w:pStyle w:val="3"/>
        <w:spacing w:before="0" w:line="560" w:lineRule="exact"/>
        <w:ind w:left="0" w:firstLine="640" w:firstLineChars="200"/>
        <w:rPr>
          <w:rFonts w:hint="eastAsia"/>
          <w:lang w:eastAsia="zh-CN"/>
        </w:rPr>
      </w:pPr>
      <w:r>
        <w:rPr>
          <w:lang w:eastAsia="zh-CN"/>
        </w:rPr>
        <w:t>现行有效的企业标准、团体标准、地方标准及产品明示质量要求</w:t>
      </w:r>
    </w:p>
    <w:p w14:paraId="48B0396E">
      <w:pPr>
        <w:spacing w:line="580" w:lineRule="exact"/>
        <w:ind w:firstLine="560"/>
        <w:jc w:val="both"/>
        <w:rPr>
          <w:rFonts w:ascii="Times New Roman" w:hAnsi="Times New Roman" w:eastAsia="方正仿宋_GBK" w:cs="Times New Roman"/>
          <w:b/>
          <w:bCs/>
          <w:sz w:val="32"/>
          <w:szCs w:val="32"/>
          <w:shd w:val="clear" w:color="auto" w:fill="FFFFFF"/>
          <w:lang w:eastAsia="zh-CN"/>
        </w:rPr>
      </w:pPr>
      <w:r>
        <w:rPr>
          <w:rFonts w:ascii="Times New Roman" w:hAnsi="Times New Roman" w:eastAsia="方正仿宋_GBK" w:cs="Times New Roman"/>
          <w:b/>
          <w:bCs/>
          <w:sz w:val="32"/>
          <w:szCs w:val="32"/>
          <w:shd w:val="clear" w:color="auto" w:fill="FFFFFF"/>
          <w:lang w:eastAsia="zh-CN"/>
        </w:rPr>
        <w:t>4.2 判定原则</w:t>
      </w:r>
    </w:p>
    <w:p w14:paraId="2B981DAF">
      <w:pPr>
        <w:pStyle w:val="3"/>
        <w:spacing w:before="0" w:line="560" w:lineRule="exact"/>
        <w:ind w:left="0" w:firstLine="604" w:firstLineChars="200"/>
        <w:rPr>
          <w:rFonts w:hint="eastAsia"/>
          <w:lang w:eastAsia="zh-CN"/>
        </w:rPr>
      </w:pPr>
      <w:r>
        <w:rPr>
          <w:spacing w:val="-1"/>
          <w:w w:val="95"/>
          <w:lang w:eastAsia="zh-CN"/>
        </w:rPr>
        <w:t>经检验，检验项目全部合格，判定为被抽查产品所检项目未发现不合格；检验项目中任一项或一项以上不合格，判定为被抽</w:t>
      </w:r>
      <w:r>
        <w:rPr>
          <w:lang w:eastAsia="zh-CN"/>
        </w:rPr>
        <w:t>查产品不合格。</w:t>
      </w:r>
    </w:p>
    <w:p w14:paraId="05B78B8F">
      <w:pPr>
        <w:pStyle w:val="3"/>
        <w:spacing w:before="0" w:line="560" w:lineRule="exact"/>
        <w:ind w:left="0" w:firstLine="640"/>
        <w:rPr>
          <w:rFonts w:hint="eastAsia"/>
          <w:lang w:eastAsia="zh-CN"/>
        </w:rPr>
      </w:pPr>
      <w:r>
        <w:rPr>
          <w:spacing w:val="12"/>
          <w:w w:val="95"/>
          <w:lang w:eastAsia="zh-CN"/>
        </w:rPr>
        <w:t>若被检产品明示的质量要求高于本细则中检验项目依据的</w:t>
      </w:r>
      <w:r>
        <w:rPr>
          <w:lang w:eastAsia="zh-CN"/>
        </w:rPr>
        <w:t>标准要求时，应按被检产品明示的质量要求判定。</w:t>
      </w:r>
    </w:p>
    <w:p w14:paraId="6D719D47">
      <w:pPr>
        <w:pStyle w:val="3"/>
        <w:spacing w:before="0" w:line="560" w:lineRule="exact"/>
        <w:ind w:left="0" w:firstLine="640"/>
        <w:rPr>
          <w:rFonts w:hint="eastAsia"/>
          <w:lang w:eastAsia="zh-CN"/>
        </w:rPr>
      </w:pPr>
      <w:r>
        <w:rPr>
          <w:spacing w:val="12"/>
          <w:w w:val="95"/>
          <w:lang w:eastAsia="zh-CN"/>
        </w:rPr>
        <w:t>若被检产品明示的质量要求低于本细则中检验项目依据的</w:t>
      </w:r>
      <w:r>
        <w:rPr>
          <w:lang w:eastAsia="zh-CN"/>
        </w:rPr>
        <w:t>强制性标准要求时，应按照强制性标准要求判定。</w:t>
      </w:r>
    </w:p>
    <w:p w14:paraId="3AAB8CB4">
      <w:pPr>
        <w:pStyle w:val="3"/>
        <w:spacing w:before="0" w:line="560" w:lineRule="exact"/>
        <w:ind w:left="0" w:firstLine="640"/>
        <w:rPr>
          <w:rFonts w:hint="eastAsia"/>
          <w:lang w:eastAsia="zh-CN"/>
        </w:rPr>
      </w:pPr>
      <w:r>
        <w:rPr>
          <w:spacing w:val="12"/>
          <w:w w:val="95"/>
          <w:lang w:eastAsia="zh-CN"/>
        </w:rPr>
        <w:t>若被检产品明示的质量要求低于或包含细则中检验项目依</w:t>
      </w:r>
      <w:r>
        <w:rPr>
          <w:spacing w:val="-1"/>
          <w:w w:val="95"/>
          <w:lang w:eastAsia="zh-CN"/>
        </w:rPr>
        <w:t>据的推荐性标准要求时，应以被检产品明示的质量要求判定，但</w:t>
      </w:r>
      <w:r>
        <w:rPr>
          <w:lang w:eastAsia="zh-CN"/>
        </w:rPr>
        <w:t>应在检验报告备注中进行说明。</w:t>
      </w:r>
    </w:p>
    <w:p w14:paraId="62419C0C">
      <w:pPr>
        <w:pStyle w:val="3"/>
        <w:spacing w:before="0" w:line="560" w:lineRule="exact"/>
        <w:ind w:left="0" w:firstLine="640"/>
        <w:rPr>
          <w:rFonts w:hint="eastAsia"/>
          <w:lang w:eastAsia="zh-CN"/>
        </w:rPr>
      </w:pPr>
      <w:r>
        <w:rPr>
          <w:spacing w:val="12"/>
          <w:w w:val="95"/>
          <w:lang w:eastAsia="zh-CN"/>
        </w:rPr>
        <w:t>若被检产品明示的质量要求缺少本细则中检验项目依据的</w:t>
      </w:r>
      <w:r>
        <w:rPr>
          <w:lang w:eastAsia="zh-CN"/>
        </w:rPr>
        <w:t>强制性标准要求时，应按照强制性标准要求判定。</w:t>
      </w:r>
    </w:p>
    <w:p w14:paraId="0A0C5D37">
      <w:pPr>
        <w:pStyle w:val="3"/>
        <w:spacing w:before="0" w:line="560" w:lineRule="exact"/>
        <w:ind w:left="0" w:firstLine="640"/>
        <w:rPr>
          <w:rFonts w:hint="eastAsia"/>
          <w:lang w:eastAsia="zh-CN"/>
        </w:rPr>
      </w:pPr>
      <w:r>
        <w:rPr>
          <w:spacing w:val="12"/>
          <w:w w:val="95"/>
          <w:lang w:eastAsia="zh-CN"/>
        </w:rPr>
        <w:t>若被检产品明示的质量要求缺少本细则中检验项目依据的</w:t>
      </w:r>
      <w:r>
        <w:rPr>
          <w:spacing w:val="-1"/>
          <w:w w:val="95"/>
          <w:lang w:eastAsia="zh-CN"/>
        </w:rPr>
        <w:t>推荐性标准要求时，该项目不参与判定，但应在检验报告备注中</w:t>
      </w:r>
      <w:r>
        <w:rPr>
          <w:lang w:eastAsia="zh-CN"/>
        </w:rPr>
        <w:t>进行说明。</w:t>
      </w:r>
    </w:p>
    <w:p w14:paraId="1760CD31">
      <w:pPr>
        <w:spacing w:line="600" w:lineRule="exact"/>
        <w:ind w:firstLine="640" w:firstLineChars="200"/>
        <w:jc w:val="both"/>
        <w:outlineLvl w:val="0"/>
        <w:rPr>
          <w:rFonts w:hint="eastAsia" w:ascii="黑体" w:hAnsi="黑体" w:eastAsia="黑体" w:cs="黑体"/>
          <w:bCs/>
          <w:kern w:val="2"/>
          <w:sz w:val="32"/>
          <w:szCs w:val="32"/>
          <w:lang w:eastAsia="zh-CN"/>
        </w:rPr>
      </w:pPr>
      <w:r>
        <w:rPr>
          <w:rFonts w:ascii="黑体" w:hAnsi="黑体" w:eastAsia="黑体" w:cs="黑体"/>
          <w:bCs/>
          <w:kern w:val="2"/>
          <w:sz w:val="32"/>
          <w:szCs w:val="32"/>
          <w:lang w:eastAsia="zh-CN"/>
        </w:rPr>
        <w:t>5.异议处理</w:t>
      </w:r>
    </w:p>
    <w:p w14:paraId="77AC8BD7">
      <w:pPr>
        <w:pStyle w:val="3"/>
        <w:spacing w:before="0" w:line="560" w:lineRule="exact"/>
        <w:ind w:left="0" w:firstLine="640"/>
        <w:rPr>
          <w:rFonts w:hint="eastAsia"/>
          <w:lang w:eastAsia="zh-CN"/>
        </w:rPr>
      </w:pPr>
      <w:r>
        <w:rPr>
          <w:lang w:eastAsia="zh-CN"/>
        </w:rPr>
        <w:t>5.1</w:t>
      </w:r>
      <w:r>
        <w:rPr>
          <w:spacing w:val="-69"/>
          <w:lang w:eastAsia="zh-CN"/>
        </w:rPr>
        <w:t xml:space="preserve"> </w:t>
      </w:r>
      <w:r>
        <w:rPr>
          <w:spacing w:val="5"/>
          <w:lang w:eastAsia="zh-CN"/>
        </w:rPr>
        <w:t xml:space="preserve">对监督抽查程序有异议的，由任务下达部门核查相关证 </w:t>
      </w:r>
      <w:r>
        <w:rPr>
          <w:lang w:eastAsia="zh-CN"/>
        </w:rPr>
        <w:t>据后维持或者撤销原检验结果。</w:t>
      </w:r>
    </w:p>
    <w:p w14:paraId="317DBC67">
      <w:pPr>
        <w:pStyle w:val="3"/>
        <w:spacing w:before="0" w:line="560" w:lineRule="exact"/>
        <w:ind w:left="0" w:firstLine="640"/>
        <w:rPr>
          <w:rFonts w:hint="eastAsia"/>
          <w:lang w:eastAsia="zh-CN"/>
        </w:rPr>
      </w:pPr>
      <w:r>
        <w:rPr>
          <w:lang w:eastAsia="zh-CN"/>
        </w:rPr>
        <w:t>5.2</w:t>
      </w:r>
      <w:r>
        <w:rPr>
          <w:spacing w:val="-74"/>
          <w:lang w:eastAsia="zh-CN"/>
        </w:rPr>
        <w:t xml:space="preserve"> </w:t>
      </w:r>
      <w:r>
        <w:rPr>
          <w:spacing w:val="5"/>
          <w:lang w:eastAsia="zh-CN"/>
        </w:rPr>
        <w:t xml:space="preserve">对检验结果有异议的，任务下达部门核查相关证据，能 </w:t>
      </w:r>
      <w:r>
        <w:rPr>
          <w:spacing w:val="-1"/>
          <w:w w:val="95"/>
          <w:lang w:eastAsia="zh-CN"/>
        </w:rPr>
        <w:t>够证明原检验结果准确的，维持原检验结果；不能证明原检验结</w:t>
      </w:r>
      <w:r>
        <w:rPr>
          <w:w w:val="95"/>
          <w:lang w:eastAsia="zh-CN"/>
        </w:rPr>
        <w:t xml:space="preserve"> </w:t>
      </w:r>
      <w:r>
        <w:rPr>
          <w:spacing w:val="-1"/>
          <w:w w:val="95"/>
          <w:lang w:eastAsia="zh-CN"/>
        </w:rPr>
        <w:t>果准确，需要进行复检的，由任务下达部门指定复检机构进行复</w:t>
      </w:r>
    </w:p>
    <w:p w14:paraId="3FB19AA7">
      <w:pPr>
        <w:spacing w:line="560" w:lineRule="exact"/>
        <w:rPr>
          <w:lang w:eastAsia="zh-CN"/>
        </w:rPr>
        <w:sectPr>
          <w:pgSz w:w="11910" w:h="16840"/>
          <w:pgMar w:top="1540" w:right="1360" w:bottom="280" w:left="1400" w:header="720" w:footer="720" w:gutter="0"/>
          <w:cols w:space="720" w:num="1"/>
        </w:sectPr>
      </w:pPr>
    </w:p>
    <w:p w14:paraId="1B86CD57">
      <w:pPr>
        <w:pStyle w:val="3"/>
        <w:spacing w:before="0" w:line="560" w:lineRule="exact"/>
        <w:ind w:left="0"/>
        <w:rPr>
          <w:rFonts w:hint="eastAsia"/>
          <w:lang w:eastAsia="zh-CN"/>
        </w:rPr>
      </w:pPr>
      <w:r>
        <w:rPr>
          <w:lang w:eastAsia="zh-CN"/>
        </w:rPr>
        <w:t>检，复检结果为本次监督抽查最终结论。</w:t>
      </w:r>
    </w:p>
    <w:p w14:paraId="1D803FD3">
      <w:pPr>
        <w:pStyle w:val="3"/>
        <w:spacing w:before="0" w:line="560" w:lineRule="exact"/>
        <w:ind w:left="0" w:firstLine="640"/>
        <w:rPr>
          <w:rFonts w:hint="eastAsia"/>
          <w:lang w:eastAsia="zh-CN"/>
        </w:rPr>
      </w:pPr>
      <w:r>
        <w:rPr>
          <w:lang w:eastAsia="zh-CN"/>
        </w:rPr>
        <w:t>5.3</w:t>
      </w:r>
      <w:r>
        <w:rPr>
          <w:spacing w:val="-75"/>
          <w:lang w:eastAsia="zh-CN"/>
        </w:rPr>
        <w:t xml:space="preserve"> </w:t>
      </w:r>
      <w:r>
        <w:rPr>
          <w:spacing w:val="5"/>
          <w:lang w:eastAsia="zh-CN"/>
        </w:rPr>
        <w:t xml:space="preserve">对样品信息有异议的，任务下达部门核查样品确认情况 </w:t>
      </w:r>
      <w:r>
        <w:rPr>
          <w:lang w:eastAsia="zh-CN"/>
        </w:rPr>
        <w:t>和生产企业提交证明材料后，维持或者撤销原检验结果。</w:t>
      </w:r>
    </w:p>
    <w:p w14:paraId="231F7B36">
      <w:pPr>
        <w:pStyle w:val="3"/>
        <w:kinsoku w:val="0"/>
        <w:overflowPunct w:val="0"/>
        <w:spacing w:before="26" w:line="290" w:lineRule="auto"/>
        <w:ind w:right="101" w:firstLine="640"/>
        <w:jc w:val="both"/>
        <w:rPr>
          <w:rFonts w:hint="eastAsia"/>
        </w:rPr>
      </w:pPr>
      <w:bookmarkStart w:id="1" w:name="_GoBack"/>
      <w:bookmarkEnd w:id="1"/>
    </w:p>
    <w:sectPr>
      <w:pgSz w:w="11910" w:h="16840"/>
      <w:pgMar w:top="1540" w:right="1360" w:bottom="280" w:left="14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2"/>
  </w:compat>
  <w:rsids>
    <w:rsidRoot w:val="003E1C25"/>
    <w:rsid w:val="000201C1"/>
    <w:rsid w:val="001D20CD"/>
    <w:rsid w:val="00266B1C"/>
    <w:rsid w:val="002E4DF5"/>
    <w:rsid w:val="003E1C25"/>
    <w:rsid w:val="005241EB"/>
    <w:rsid w:val="005827E3"/>
    <w:rsid w:val="007653A1"/>
    <w:rsid w:val="007A43AF"/>
    <w:rsid w:val="007E70BC"/>
    <w:rsid w:val="007F0094"/>
    <w:rsid w:val="008969CD"/>
    <w:rsid w:val="008B4B60"/>
    <w:rsid w:val="00907BE1"/>
    <w:rsid w:val="00995BFA"/>
    <w:rsid w:val="00A714DD"/>
    <w:rsid w:val="00A811E6"/>
    <w:rsid w:val="00B8164C"/>
    <w:rsid w:val="00BC0268"/>
    <w:rsid w:val="00BE71D8"/>
    <w:rsid w:val="00C502D3"/>
    <w:rsid w:val="00C65F69"/>
    <w:rsid w:val="00D42406"/>
    <w:rsid w:val="00DA6A3A"/>
    <w:rsid w:val="00EB6A0E"/>
    <w:rsid w:val="00EE10A9"/>
    <w:rsid w:val="00F00C96"/>
    <w:rsid w:val="00F057AF"/>
    <w:rsid w:val="00F17C66"/>
    <w:rsid w:val="01C979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9"/>
    <w:qFormat/>
    <w:uiPriority w:val="1"/>
    <w:pPr>
      <w:ind w:left="262"/>
      <w:outlineLvl w:val="0"/>
    </w:pPr>
    <w:rPr>
      <w:rFonts w:ascii="宋体" w:eastAsia="宋体" w:cs="宋体"/>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pPr>
      <w:spacing w:before="24"/>
      <w:ind w:left="119"/>
    </w:pPr>
    <w:rPr>
      <w:rFonts w:ascii="方正仿宋_GBK" w:eastAsia="方正仿宋_GBK" w:cs="方正仿宋_GBK"/>
      <w:sz w:val="32"/>
      <w:szCs w:val="32"/>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tabs>
        <w:tab w:val="center" w:pos="4153"/>
        <w:tab w:val="right" w:pos="8306"/>
      </w:tabs>
      <w:snapToGrid w:val="0"/>
      <w:jc w:val="center"/>
    </w:pPr>
    <w:rPr>
      <w:sz w:val="18"/>
      <w:szCs w:val="18"/>
    </w:rPr>
  </w:style>
  <w:style w:type="paragraph" w:styleId="6">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kern w:val="2"/>
    </w:rPr>
  </w:style>
  <w:style w:type="character" w:customStyle="1" w:styleId="9">
    <w:name w:val="标题 1 字符"/>
    <w:basedOn w:val="8"/>
    <w:link w:val="2"/>
    <w:qFormat/>
    <w:uiPriority w:val="9"/>
    <w:rPr>
      <w:rFonts w:ascii="Times New Roman" w:hAnsi="Times New Roman" w:cs="Times New Roman"/>
      <w:b/>
      <w:bCs/>
      <w:kern w:val="44"/>
      <w:sz w:val="44"/>
      <w:szCs w:val="44"/>
    </w:rPr>
  </w:style>
  <w:style w:type="character" w:customStyle="1" w:styleId="10">
    <w:name w:val="正文文本 字符"/>
    <w:basedOn w:val="8"/>
    <w:link w:val="3"/>
    <w:semiHidden/>
    <w:qFormat/>
    <w:uiPriority w:val="99"/>
    <w:rPr>
      <w:rFonts w:ascii="Times New Roman" w:hAnsi="Times New Roman" w:cs="Times New Roman"/>
      <w:kern w:val="0"/>
      <w:sz w:val="24"/>
      <w:szCs w:val="24"/>
    </w:r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8"/>
    <w:link w:val="5"/>
    <w:uiPriority w:val="99"/>
    <w:rPr>
      <w:rFonts w:ascii="Times New Roman" w:hAnsi="Times New Roman" w:cs="Times New Roman"/>
      <w:kern w:val="0"/>
      <w:sz w:val="18"/>
      <w:szCs w:val="18"/>
    </w:rPr>
  </w:style>
  <w:style w:type="character" w:customStyle="1" w:styleId="14">
    <w:name w:val="页脚 字符"/>
    <w:basedOn w:val="8"/>
    <w:link w:val="4"/>
    <w:uiPriority w:val="99"/>
    <w:rPr>
      <w:rFonts w:ascii="Times New Roman" w:hAnsi="Times New Roman" w:cs="Times New Roman"/>
      <w:kern w:val="0"/>
      <w:sz w:val="18"/>
      <w:szCs w:val="18"/>
    </w:rPr>
  </w:style>
  <w:style w:type="character" w:customStyle="1" w:styleId="15">
    <w:name w:val="HTML 预设格式 字符"/>
    <w:link w:val="6"/>
    <w:qFormat/>
    <w:uiPriority w:val="99"/>
    <w:rPr>
      <w:rFonts w:ascii="宋体" w:hAnsi="宋体" w:cs="宋体"/>
      <w:sz w:val="24"/>
      <w:szCs w:val="24"/>
    </w:rPr>
  </w:style>
  <w:style w:type="character" w:customStyle="1" w:styleId="16">
    <w:name w:val="HTML 预设格式 字符1"/>
    <w:basedOn w:val="8"/>
    <w:semiHidden/>
    <w:uiPriority w:val="99"/>
    <w:rPr>
      <w:rFonts w:ascii="Courier New" w:hAnsi="Courier New" w:cs="Courier New"/>
      <w:kern w:val="0"/>
      <w:sz w:val="20"/>
      <w:szCs w:val="20"/>
    </w:rPr>
  </w:style>
  <w:style w:type="table" w:customStyle="1" w:styleId="1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1462</Words>
  <Characters>1873</Characters>
  <Lines>76</Lines>
  <Paragraphs>97</Paragraphs>
  <TotalTime>0</To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2024-05-05T14:26:00Z</dcterms:created>
  <dc:creator>cj_wong</dc:creator>
  <cp:lastModifiedBy>随心而动</cp:lastModifiedBy>
  <dcterms:modified xsi:type="dcterms:W3CDTF">2026-03-26T03:14:05Z</dcterms:modified>
  <dc:title>XXXX年第X批风险监测实施方案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TemplateDocerSaveRecord">
    <vt:lpwstr>eyJoZGlkIjoiY2RkOGM2MmNkYTQxZTVhYjNlYjNlOTZjZjM2NzA3NWUiLCJ1c2VySWQiOiIxNDQ1NjgwNTU0In0=</vt:lpwstr>
  </property>
  <property fmtid="{D5CDD505-2E9C-101B-9397-08002B2CF9AE}" pid="4" name="KSOProductBuildVer">
    <vt:lpwstr>2052-12.1.0.25225</vt:lpwstr>
  </property>
  <property fmtid="{D5CDD505-2E9C-101B-9397-08002B2CF9AE}" pid="5" name="ICV">
    <vt:lpwstr>404A1C5E9B3E4C4B96735D512460F7FD_12</vt:lpwstr>
  </property>
</Properties>
</file>