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3256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Times New Roman"/>
          <w:b/>
          <w:bCs w:val="0"/>
          <w:sz w:val="36"/>
          <w:szCs w:val="36"/>
        </w:rPr>
      </w:pPr>
      <w:r>
        <w:rPr>
          <w:rFonts w:hint="eastAsia" w:ascii="宋体" w:hAnsi="宋体" w:eastAsia="宋体" w:cs="Times New Roman"/>
          <w:b/>
          <w:bCs w:val="0"/>
          <w:sz w:val="36"/>
          <w:szCs w:val="36"/>
          <w:lang w:val="en-US" w:eastAsia="zh-CN"/>
        </w:rPr>
        <w:t>连云港市</w:t>
      </w:r>
      <w:r>
        <w:rPr>
          <w:rFonts w:hint="eastAsia" w:ascii="宋体" w:hAnsi="宋体" w:eastAsia="宋体" w:cs="Times New Roman"/>
          <w:b/>
          <w:bCs w:val="0"/>
          <w:sz w:val="36"/>
          <w:szCs w:val="36"/>
          <w:lang w:val="en-US" w:eastAsia="zh-CN"/>
        </w:rPr>
        <w:t>婴幼儿及儿</w:t>
      </w:r>
      <w:r>
        <w:rPr>
          <w:rFonts w:hint="eastAsia" w:ascii="宋体" w:hAnsi="宋体" w:eastAsia="宋体" w:cs="Times New Roman"/>
          <w:b/>
          <w:bCs w:val="0"/>
          <w:sz w:val="36"/>
          <w:szCs w:val="36"/>
          <w:lang w:val="en-US" w:eastAsia="zh-CN"/>
        </w:rPr>
        <w:t>童服装</w:t>
      </w:r>
      <w:r>
        <w:rPr>
          <w:rFonts w:hint="eastAsia" w:ascii="宋体" w:hAnsi="宋体" w:eastAsia="宋体" w:cs="Times New Roman"/>
          <w:b/>
          <w:bCs w:val="0"/>
          <w:sz w:val="36"/>
          <w:szCs w:val="36"/>
        </w:rPr>
        <w:t>产品质量监督抽查</w:t>
      </w:r>
    </w:p>
    <w:p w14:paraId="7D46DB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Times New Roman"/>
          <w:b/>
          <w:bCs w:val="0"/>
          <w:sz w:val="36"/>
          <w:szCs w:val="36"/>
        </w:rPr>
      </w:pPr>
      <w:r>
        <w:rPr>
          <w:rFonts w:hint="eastAsia" w:ascii="宋体" w:hAnsi="宋体" w:eastAsia="宋体" w:cs="Times New Roman"/>
          <w:b/>
          <w:bCs w:val="0"/>
          <w:sz w:val="36"/>
          <w:szCs w:val="36"/>
        </w:rPr>
        <w:t>实施细则</w:t>
      </w:r>
    </w:p>
    <w:p w14:paraId="46217C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Times New Roman"/>
          <w:b/>
          <w:bCs w:val="0"/>
          <w:sz w:val="36"/>
          <w:szCs w:val="36"/>
          <w:lang w:val="en-US" w:eastAsia="zh-CN"/>
        </w:rPr>
      </w:pPr>
      <w:r>
        <w:rPr>
          <w:rFonts w:hint="eastAsia" w:ascii="宋体" w:hAnsi="宋体" w:eastAsia="宋体" w:cs="Times New Roman"/>
          <w:b/>
          <w:bCs w:val="0"/>
          <w:sz w:val="36"/>
          <w:szCs w:val="36"/>
          <w:lang w:val="en-US" w:eastAsia="zh-CN"/>
        </w:rPr>
        <w:t>（2026年版）</w:t>
      </w:r>
    </w:p>
    <w:p w14:paraId="49261746">
      <w:pPr>
        <w:overflowPunct w:val="0"/>
        <w:autoSpaceDE w:val="0"/>
        <w:autoSpaceDN w:val="0"/>
        <w:adjustRightInd w:val="0"/>
        <w:snapToGrid w:val="0"/>
        <w:spacing w:line="560" w:lineRule="exact"/>
        <w:ind w:firstLine="480" w:firstLineChars="200"/>
        <w:rPr>
          <w:rFonts w:hint="eastAsia" w:asciiTheme="minorEastAsia" w:hAnsiTheme="minorEastAsia" w:eastAsiaTheme="minorEastAsia" w:cstheme="minorEastAsia"/>
          <w:b/>
          <w:sz w:val="28"/>
          <w:szCs w:val="28"/>
        </w:rPr>
      </w:pPr>
      <w:r>
        <w:rPr>
          <w:rFonts w:hint="eastAsia" w:ascii="黑体" w:hAnsi="黑体" w:eastAsia="黑体" w:cs="黑体"/>
          <w:b w:val="0"/>
          <w:bCs w:val="0"/>
          <w:sz w:val="24"/>
          <w:szCs w:val="24"/>
        </w:rPr>
        <w:t>1</w:t>
      </w:r>
      <w:r>
        <w:rPr>
          <w:rFonts w:hint="eastAsia" w:ascii="黑体" w:hAnsi="黑体" w:eastAsia="黑体" w:cs="黑体"/>
          <w:b w:val="0"/>
          <w:bCs w:val="0"/>
          <w:sz w:val="24"/>
          <w:szCs w:val="24"/>
          <w:lang w:val="en-US" w:eastAsia="zh-CN"/>
        </w:rPr>
        <w:t>.</w:t>
      </w:r>
      <w:r>
        <w:rPr>
          <w:rFonts w:hint="eastAsia" w:ascii="黑体" w:hAnsi="黑体" w:eastAsia="黑体" w:cs="黑体"/>
          <w:b w:val="0"/>
          <w:bCs w:val="0"/>
          <w:kern w:val="0"/>
          <w:sz w:val="24"/>
          <w:szCs w:val="24"/>
          <w:shd w:val="clear" w:color="auto" w:fill="FFFFFF"/>
          <w:lang w:bidi="ar"/>
        </w:rPr>
        <w:t>范围</w:t>
      </w:r>
    </w:p>
    <w:p w14:paraId="1EBA5340">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本细则适用于</w:t>
      </w:r>
      <w:r>
        <w:rPr>
          <w:rFonts w:hint="eastAsia" w:ascii="宋体" w:hAnsi="宋体" w:eastAsia="宋体" w:cs="宋体"/>
          <w:sz w:val="24"/>
          <w:szCs w:val="24"/>
          <w:lang w:val="en-US" w:eastAsia="zh-CN"/>
        </w:rPr>
        <w:t>连云港市</w:t>
      </w:r>
      <w:r>
        <w:rPr>
          <w:rFonts w:hint="eastAsia" w:ascii="宋体" w:hAnsi="宋体" w:eastAsia="宋体" w:cs="宋体"/>
          <w:sz w:val="24"/>
          <w:szCs w:val="24"/>
        </w:rPr>
        <w:t>市场监督管理局组织</w:t>
      </w:r>
      <w:r>
        <w:rPr>
          <w:rFonts w:hint="eastAsia" w:ascii="宋体" w:hAnsi="宋体" w:eastAsia="宋体" w:cs="宋体"/>
          <w:sz w:val="24"/>
          <w:szCs w:val="24"/>
          <w:lang w:val="en-US" w:eastAsia="zh-CN"/>
        </w:rPr>
        <w:t>的婴幼儿及儿童</w:t>
      </w:r>
      <w:r>
        <w:rPr>
          <w:rFonts w:hint="eastAsia" w:ascii="宋体" w:hAnsi="宋体" w:eastAsia="宋体" w:cs="宋体"/>
          <w:sz w:val="24"/>
          <w:szCs w:val="24"/>
          <w:lang w:val="en-US" w:eastAsia="zh-CN"/>
        </w:rPr>
        <w:t>服装</w:t>
      </w:r>
      <w:r>
        <w:rPr>
          <w:rFonts w:hint="eastAsia" w:ascii="宋体" w:hAnsi="宋体" w:eastAsia="宋体" w:cs="宋体"/>
          <w:sz w:val="24"/>
          <w:szCs w:val="24"/>
        </w:rPr>
        <w:t>产品质量监督抽查</w:t>
      </w:r>
      <w:r>
        <w:rPr>
          <w:rFonts w:hint="eastAsia" w:ascii="宋体" w:hAnsi="宋体" w:eastAsia="宋体" w:cs="宋体"/>
          <w:sz w:val="24"/>
          <w:szCs w:val="24"/>
          <w:lang w:val="en-US" w:eastAsia="zh-CN"/>
        </w:rPr>
        <w:t>检验</w:t>
      </w:r>
      <w:r>
        <w:rPr>
          <w:rFonts w:hint="eastAsia" w:ascii="宋体" w:hAnsi="宋体" w:eastAsia="宋体" w:cs="宋体"/>
          <w:sz w:val="24"/>
          <w:szCs w:val="24"/>
        </w:rPr>
        <w:t>。本细则</w:t>
      </w:r>
      <w:r>
        <w:rPr>
          <w:rFonts w:hint="eastAsia" w:ascii="宋体" w:hAnsi="宋体" w:eastAsia="宋体" w:cs="宋体"/>
          <w:sz w:val="24"/>
          <w:szCs w:val="24"/>
          <w:lang w:eastAsia="zh-CN"/>
        </w:rPr>
        <w:t>规定了</w:t>
      </w:r>
      <w:r>
        <w:rPr>
          <w:rFonts w:hint="eastAsia" w:ascii="宋体" w:hAnsi="宋体" w:eastAsia="宋体" w:cs="宋体"/>
          <w:sz w:val="24"/>
          <w:szCs w:val="24"/>
          <w:lang w:val="en-US" w:eastAsia="zh-CN"/>
        </w:rPr>
        <w:t>此</w:t>
      </w:r>
      <w:r>
        <w:rPr>
          <w:rFonts w:hint="eastAsia" w:ascii="宋体" w:hAnsi="宋体" w:eastAsia="宋体" w:cs="宋体"/>
          <w:sz w:val="24"/>
          <w:szCs w:val="24"/>
          <w:lang w:eastAsia="zh-CN"/>
        </w:rPr>
        <w:t>产品的</w:t>
      </w:r>
      <w:r>
        <w:rPr>
          <w:rFonts w:hint="eastAsia" w:ascii="宋体" w:hAnsi="宋体" w:eastAsia="宋体" w:cs="宋体"/>
          <w:sz w:val="24"/>
          <w:szCs w:val="24"/>
        </w:rPr>
        <w:t>抽样方法、检验依据、检验项目、检验方法、判定</w:t>
      </w:r>
      <w:r>
        <w:rPr>
          <w:rFonts w:hint="eastAsia" w:ascii="宋体" w:hAnsi="宋体" w:eastAsia="宋体" w:cs="宋体"/>
          <w:sz w:val="24"/>
          <w:szCs w:val="24"/>
          <w:lang w:val="en-US" w:eastAsia="zh-CN"/>
        </w:rPr>
        <w:t>原则</w:t>
      </w:r>
      <w:r>
        <w:rPr>
          <w:rFonts w:hint="eastAsia" w:ascii="宋体" w:hAnsi="宋体" w:eastAsia="宋体" w:cs="宋体"/>
          <w:sz w:val="24"/>
          <w:szCs w:val="24"/>
        </w:rPr>
        <w:t>、异议处理</w:t>
      </w:r>
      <w:r>
        <w:rPr>
          <w:rFonts w:hint="eastAsia" w:ascii="宋体" w:hAnsi="宋体" w:eastAsia="宋体" w:cs="宋体"/>
          <w:sz w:val="24"/>
          <w:szCs w:val="24"/>
          <w:lang w:val="en-US" w:eastAsia="zh-CN"/>
        </w:rPr>
        <w:t>及复检</w:t>
      </w:r>
      <w:r>
        <w:rPr>
          <w:rFonts w:hint="eastAsia" w:ascii="宋体" w:hAnsi="宋体" w:eastAsia="宋体" w:cs="宋体"/>
          <w:sz w:val="24"/>
          <w:szCs w:val="24"/>
        </w:rPr>
        <w:t>。</w:t>
      </w:r>
    </w:p>
    <w:p w14:paraId="575913B0">
      <w:pPr>
        <w:spacing w:line="560" w:lineRule="exact"/>
        <w:ind w:firstLine="480" w:firstLineChars="200"/>
        <w:rPr>
          <w:rFonts w:hint="eastAsia" w:asciiTheme="minorEastAsia" w:hAnsiTheme="minorEastAsia" w:eastAsiaTheme="minorEastAsia" w:cstheme="minorEastAsia"/>
          <w:b/>
          <w:kern w:val="0"/>
          <w:sz w:val="32"/>
          <w:szCs w:val="32"/>
          <w:shd w:val="clear" w:color="auto" w:fill="FFFFFF"/>
          <w:lang w:eastAsia="zh-CN"/>
        </w:rPr>
      </w:pPr>
      <w:r>
        <w:rPr>
          <w:rFonts w:hint="eastAsia" w:ascii="黑体" w:hAnsi="黑体" w:eastAsia="黑体" w:cs="黑体"/>
          <w:b w:val="0"/>
          <w:bCs w:val="0"/>
          <w:sz w:val="24"/>
          <w:szCs w:val="24"/>
        </w:rPr>
        <w:t>2</w:t>
      </w:r>
      <w:r>
        <w:rPr>
          <w:rFonts w:hint="eastAsia" w:ascii="黑体" w:hAnsi="黑体" w:eastAsia="黑体" w:cs="黑体"/>
          <w:b w:val="0"/>
          <w:bCs w:val="0"/>
          <w:sz w:val="24"/>
          <w:szCs w:val="24"/>
          <w:lang w:val="en-US" w:eastAsia="zh-CN"/>
        </w:rPr>
        <w:t>.</w:t>
      </w:r>
      <w:r>
        <w:rPr>
          <w:rFonts w:hint="eastAsia" w:ascii="黑体" w:hAnsi="黑体" w:eastAsia="黑体" w:cs="黑体"/>
          <w:b w:val="0"/>
          <w:bCs w:val="0"/>
          <w:sz w:val="24"/>
          <w:szCs w:val="24"/>
          <w:lang w:eastAsia="zh-CN"/>
        </w:rPr>
        <w:t>抽样方法</w:t>
      </w:r>
    </w:p>
    <w:p w14:paraId="1389AE00">
      <w:pPr>
        <w:keepNext w:val="0"/>
        <w:keepLines w:val="0"/>
        <w:pageBreakBefore w:val="0"/>
        <w:widowControl w:val="0"/>
        <w:kinsoku/>
        <w:wordWrap/>
        <w:topLinePunct w:val="0"/>
        <w:bidi w:val="0"/>
        <w:spacing w:line="5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Times New Roman"/>
          <w:sz w:val="24"/>
          <w:lang w:val="zh-Hans" w:eastAsia="zh-Hans"/>
        </w:rPr>
        <w:t>样品应在受检企业（含生产企业、实体店、使用单位）</w:t>
      </w:r>
      <w:r>
        <w:rPr>
          <w:rFonts w:hint="eastAsia" w:ascii="宋体" w:hAnsi="宋体" w:eastAsia="宋体" w:cs="宋体"/>
          <w:b w:val="0"/>
          <w:bCs w:val="0"/>
          <w:kern w:val="2"/>
          <w:sz w:val="24"/>
          <w:szCs w:val="24"/>
          <w:lang w:val="en-US" w:eastAsia="zh-CN" w:bidi="ar-SA"/>
        </w:rPr>
        <w:t>待销或待分发产品中</w:t>
      </w:r>
      <w:r>
        <w:rPr>
          <w:rFonts w:hint="eastAsia" w:ascii="宋体" w:hAnsi="宋体" w:eastAsia="宋体" w:cs="Times New Roman"/>
          <w:sz w:val="24"/>
          <w:lang w:val="zh-Hans" w:eastAsia="zh-Hans"/>
        </w:rPr>
        <w:t>，以简单随机抽样方式抽取。随机数可使用随机数表、骰子或扑克牌等方法产生。</w:t>
      </w:r>
    </w:p>
    <w:p w14:paraId="55017A46">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Hans"/>
        </w:rPr>
        <w:t>在生产企业抽样时：抽样人员应在受检企业成品仓库或其确认的存放场所，对同一批次、相同款式（货/款号）、相同花型和相同颜色的产品，确认产品库存基数后，随机抽取样品。所抽样品应为经企业检验合格或以其他形式表明合格的待销产品。</w:t>
      </w:r>
      <w:r>
        <w:rPr>
          <w:rFonts w:hint="eastAsia" w:ascii="宋体" w:hAnsi="宋体" w:eastAsia="宋体" w:cs="宋体"/>
          <w:b w:val="0"/>
          <w:bCs w:val="0"/>
          <w:kern w:val="2"/>
          <w:sz w:val="24"/>
          <w:szCs w:val="24"/>
          <w:lang w:val="en-US" w:eastAsia="zh-CN" w:bidi="ar-SA"/>
        </w:rPr>
        <w:t>抽样基数不得低于20套。</w:t>
      </w:r>
      <w:r>
        <w:rPr>
          <w:rFonts w:hint="eastAsia" w:ascii="宋体" w:hAnsi="宋体" w:eastAsia="宋体" w:cs="Times New Roman"/>
          <w:kern w:val="0"/>
          <w:sz w:val="24"/>
          <w:lang w:val="en-US" w:eastAsia="zh-CN"/>
        </w:rPr>
        <w:t>抽样数量：儿童服装：2件/条/套（其中备样1件/条/套）；婴幼儿服装：4件/条/套（其中备样2件/条/套），或满足试验最小量确定抽样数量。</w:t>
      </w:r>
    </w:p>
    <w:p w14:paraId="4EE5A183">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zh-Hans" w:eastAsia="zh-Hans"/>
        </w:rPr>
        <w:t>在流通领域（实体店）抽样时：</w:t>
      </w:r>
      <w:r>
        <w:rPr>
          <w:rFonts w:hint="eastAsia" w:ascii="宋体" w:hAnsi="宋体" w:eastAsia="宋体" w:cs="Times New Roman"/>
          <w:sz w:val="24"/>
          <w:lang w:val="zh-Hans" w:eastAsia="zh-Hans"/>
        </w:rPr>
        <w:t>抽样人员应在合格待销产品中随机抽取同一批次、相同款式、相同花型、相同颜色的产品</w:t>
      </w:r>
      <w:r>
        <w:rPr>
          <w:rFonts w:hint="eastAsia" w:ascii="宋体" w:hAnsi="宋体" w:eastAsia="宋体" w:cs="Times New Roman"/>
          <w:sz w:val="24"/>
          <w:lang w:val="zh-Hans" w:eastAsia="zh-CN"/>
        </w:rPr>
        <w:t>。</w:t>
      </w:r>
      <w:r>
        <w:rPr>
          <w:rFonts w:hint="eastAsia" w:ascii="宋体" w:hAnsi="宋体" w:eastAsia="宋体" w:cs="Times New Roman"/>
          <w:sz w:val="24"/>
          <w:lang w:val="zh-Hans" w:eastAsia="zh-Hans"/>
        </w:rPr>
        <w:t>待销产品数量满足抽样数量即可。</w:t>
      </w:r>
      <w:r>
        <w:rPr>
          <w:rFonts w:hint="eastAsia" w:ascii="宋体" w:hAnsi="宋体" w:eastAsia="宋体" w:cs="Times New Roman"/>
          <w:kern w:val="0"/>
          <w:sz w:val="24"/>
          <w:lang w:val="en-US" w:eastAsia="zh-CN"/>
        </w:rPr>
        <w:t>抽样数量：儿童服装：2件/条/套（其中备样1件/条/套）；婴幼儿服装：4件/条/套（其中备样2件/条/套），或满足试验最小量确定抽样数量。</w:t>
      </w:r>
    </w:p>
    <w:p w14:paraId="31A63FBB">
      <w:pPr>
        <w:pStyle w:val="11"/>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sz w:val="24"/>
          <w:szCs w:val="24"/>
        </w:rPr>
      </w:pPr>
      <w:r>
        <w:rPr>
          <w:rFonts w:hint="eastAsia" w:ascii="黑体" w:hAnsi="黑体" w:eastAsia="黑体" w:cs="黑体"/>
          <w:b w:val="0"/>
          <w:bCs w:val="0"/>
          <w:kern w:val="2"/>
          <w:sz w:val="24"/>
          <w:szCs w:val="24"/>
          <w:lang w:val="en-US" w:eastAsia="zh-CN" w:bidi="ar-SA"/>
        </w:rPr>
        <w:t>3.检验依据</w:t>
      </w:r>
      <w:r>
        <w:rPr>
          <w:rFonts w:hint="eastAsia" w:asciiTheme="minorEastAsia" w:hAnsiTheme="minorEastAsia" w:eastAsiaTheme="minorEastAsia" w:cstheme="minorEastAsia"/>
          <w:sz w:val="32"/>
          <w:szCs w:val="32"/>
        </w:rPr>
        <w:t xml:space="preserve"> </w:t>
      </w:r>
    </w:p>
    <w:p w14:paraId="2D13D516">
      <w:pPr>
        <w:snapToGrid w:val="0"/>
        <w:spacing w:line="480" w:lineRule="exact"/>
        <w:jc w:val="center"/>
        <w:rPr>
          <w:rFonts w:hint="eastAsia" w:ascii="黑体" w:hAnsi="黑体" w:eastAsia="黑体"/>
          <w:sz w:val="21"/>
          <w:szCs w:val="21"/>
          <w:lang w:eastAsia="zh-CN"/>
        </w:rPr>
      </w:pPr>
      <w:r>
        <w:rPr>
          <w:rFonts w:hint="eastAsia" w:ascii="黑体" w:hAnsi="黑体" w:eastAsia="黑体"/>
          <w:sz w:val="21"/>
          <w:szCs w:val="21"/>
          <w:lang w:eastAsia="zh-CN"/>
        </w:rPr>
        <w:t>表</w:t>
      </w:r>
      <w:r>
        <w:rPr>
          <w:rFonts w:hint="eastAsia" w:ascii="黑体" w:hAnsi="黑体" w:eastAsia="黑体"/>
          <w:sz w:val="21"/>
          <w:szCs w:val="21"/>
          <w:lang w:val="en-US" w:eastAsia="zh-CN"/>
        </w:rPr>
        <w:t xml:space="preserve">1 </w:t>
      </w:r>
      <w:r>
        <w:rPr>
          <w:rFonts w:hint="eastAsia" w:ascii="黑体" w:hAnsi="黑体" w:eastAsia="黑体"/>
          <w:sz w:val="21"/>
          <w:szCs w:val="21"/>
          <w:lang w:eastAsia="zh-CN"/>
        </w:rPr>
        <w:t>检验项目</w:t>
      </w:r>
    </w:p>
    <w:tbl>
      <w:tblPr>
        <w:tblStyle w:val="7"/>
        <w:tblW w:w="92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311"/>
        <w:gridCol w:w="2176"/>
        <w:gridCol w:w="2762"/>
        <w:gridCol w:w="2994"/>
      </w:tblGrid>
      <w:tr w14:paraId="2ABAF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tblHeader/>
          <w:jc w:val="center"/>
        </w:trPr>
        <w:tc>
          <w:tcPr>
            <w:tcW w:w="1311" w:type="dxa"/>
            <w:tcBorders>
              <w:top w:val="single" w:color="auto" w:sz="6" w:space="0"/>
              <w:left w:val="single" w:color="auto" w:sz="6" w:space="0"/>
            </w:tcBorders>
            <w:noWrap w:val="0"/>
            <w:vAlign w:val="center"/>
          </w:tcPr>
          <w:p w14:paraId="0068F5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序号</w:t>
            </w:r>
          </w:p>
        </w:tc>
        <w:tc>
          <w:tcPr>
            <w:tcW w:w="2176" w:type="dxa"/>
            <w:tcBorders>
              <w:top w:val="single" w:color="auto" w:sz="6" w:space="0"/>
            </w:tcBorders>
            <w:noWrap w:val="0"/>
            <w:vAlign w:val="center"/>
          </w:tcPr>
          <w:p w14:paraId="082204D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检验项目</w:t>
            </w:r>
          </w:p>
        </w:tc>
        <w:tc>
          <w:tcPr>
            <w:tcW w:w="2762" w:type="dxa"/>
            <w:tcBorders>
              <w:top w:val="single" w:color="auto" w:sz="6" w:space="0"/>
            </w:tcBorders>
            <w:noWrap w:val="0"/>
            <w:vAlign w:val="center"/>
          </w:tcPr>
          <w:p w14:paraId="1F8C16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检验依据</w:t>
            </w:r>
          </w:p>
        </w:tc>
        <w:tc>
          <w:tcPr>
            <w:tcW w:w="2994" w:type="dxa"/>
            <w:tcBorders>
              <w:top w:val="single" w:color="auto" w:sz="4" w:space="0"/>
              <w:left w:val="single" w:color="auto" w:sz="4" w:space="0"/>
              <w:right w:val="single" w:color="auto" w:sz="4" w:space="0"/>
            </w:tcBorders>
            <w:noWrap w:val="0"/>
            <w:vAlign w:val="center"/>
          </w:tcPr>
          <w:p w14:paraId="525B318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检验检测方法</w:t>
            </w:r>
          </w:p>
        </w:tc>
      </w:tr>
      <w:tr w14:paraId="5DA59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noWrap w:val="0"/>
            <w:vAlign w:val="center"/>
          </w:tcPr>
          <w:p w14:paraId="58B146A4">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1</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67214A68">
            <w:pPr>
              <w:autoSpaceDE/>
              <w:autoSpaceDN/>
              <w:contextualSpacing/>
              <w:jc w:val="center"/>
              <w:rPr>
                <w:rFonts w:hint="eastAsia" w:ascii="宋体" w:hAnsi="宋体" w:eastAsia="宋体" w:cs="宋体"/>
                <w:kern w:val="0"/>
                <w:sz w:val="18"/>
                <w:szCs w:val="18"/>
                <w:lang w:val="en-US" w:eastAsia="zh-CN"/>
              </w:rPr>
            </w:pPr>
            <w:r>
              <w:rPr>
                <w:rFonts w:hint="eastAsia" w:ascii="仿宋" w:hAnsi="仿宋" w:eastAsia="仿宋" w:cs="仿宋"/>
                <w:color w:val="auto"/>
                <w:kern w:val="0"/>
                <w:sz w:val="21"/>
                <w:szCs w:val="21"/>
                <w:highlight w:val="none"/>
                <w:lang w:val="en-US" w:eastAsia="zh-CN" w:bidi="ar-SA"/>
              </w:rPr>
              <w:t>甲醛含量</w:t>
            </w:r>
          </w:p>
        </w:tc>
        <w:tc>
          <w:tcPr>
            <w:tcW w:w="2762" w:type="dxa"/>
            <w:vMerge w:val="restart"/>
            <w:tcBorders>
              <w:top w:val="single" w:color="auto" w:sz="6" w:space="0"/>
              <w:left w:val="single" w:color="auto" w:sz="4" w:space="0"/>
              <w:right w:val="single" w:color="auto" w:sz="4" w:space="0"/>
            </w:tcBorders>
            <w:noWrap w:val="0"/>
            <w:vAlign w:val="center"/>
          </w:tcPr>
          <w:p w14:paraId="7072987B">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GB 31701-2015</w:t>
            </w:r>
          </w:p>
          <w:p w14:paraId="48F855B8">
            <w:pPr>
              <w:jc w:val="center"/>
              <w:rPr>
                <w:rFonts w:hint="eastAsia" w:ascii="宋体" w:hAnsi="宋体" w:eastAsia="宋体" w:cs="宋体"/>
                <w:kern w:val="0"/>
                <w:sz w:val="18"/>
                <w:szCs w:val="18"/>
                <w:lang w:val="en-US" w:eastAsia="zh-CN"/>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noWrap w:val="0"/>
            <w:vAlign w:val="center"/>
          </w:tcPr>
          <w:p w14:paraId="4B394A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2912.1-2009</w:t>
            </w:r>
          </w:p>
        </w:tc>
      </w:tr>
      <w:tr w14:paraId="3D48E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noWrap w:val="0"/>
            <w:vAlign w:val="center"/>
          </w:tcPr>
          <w:p w14:paraId="66F194CF">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2</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00D29365">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pH 值</w:t>
            </w:r>
          </w:p>
        </w:tc>
        <w:tc>
          <w:tcPr>
            <w:tcW w:w="2762" w:type="dxa"/>
            <w:vMerge w:val="continue"/>
            <w:tcBorders>
              <w:left w:val="single" w:color="auto" w:sz="4" w:space="0"/>
              <w:right w:val="single" w:color="auto" w:sz="4" w:space="0"/>
            </w:tcBorders>
            <w:noWrap w:val="0"/>
            <w:vAlign w:val="center"/>
          </w:tcPr>
          <w:p w14:paraId="250048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218267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7573-2009</w:t>
            </w:r>
          </w:p>
        </w:tc>
      </w:tr>
      <w:tr w14:paraId="5942F6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CC98A3D">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3</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B49ACD">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耐水色牢度</w:t>
            </w:r>
          </w:p>
        </w:tc>
        <w:tc>
          <w:tcPr>
            <w:tcW w:w="2762" w:type="dxa"/>
            <w:vMerge w:val="continue"/>
            <w:tcBorders>
              <w:left w:val="single" w:color="auto" w:sz="4" w:space="0"/>
              <w:right w:val="single" w:color="auto" w:sz="4" w:space="0"/>
            </w:tcBorders>
            <w:shd w:val="clear" w:color="auto" w:fill="auto"/>
            <w:noWrap w:val="0"/>
            <w:vAlign w:val="center"/>
          </w:tcPr>
          <w:p w14:paraId="750D45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EAA0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5713-2013</w:t>
            </w:r>
          </w:p>
        </w:tc>
      </w:tr>
      <w:tr w14:paraId="54308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5866CAF">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4</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9BC8B">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耐干摩擦色牢度</w:t>
            </w:r>
          </w:p>
        </w:tc>
        <w:tc>
          <w:tcPr>
            <w:tcW w:w="2762" w:type="dxa"/>
            <w:vMerge w:val="continue"/>
            <w:tcBorders>
              <w:left w:val="single" w:color="auto" w:sz="4" w:space="0"/>
              <w:bottom w:val="single" w:color="auto" w:sz="6" w:space="0"/>
              <w:right w:val="single" w:color="auto" w:sz="4" w:space="0"/>
            </w:tcBorders>
            <w:noWrap w:val="0"/>
            <w:vAlign w:val="center"/>
          </w:tcPr>
          <w:p w14:paraId="320A8D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Times New Roman"/>
                <w:sz w:val="18"/>
                <w:szCs w:val="18"/>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362894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3920-2008</w:t>
            </w:r>
          </w:p>
        </w:tc>
      </w:tr>
      <w:tr w14:paraId="060A7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C412A6A">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5</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1DAEA1">
            <w:pPr>
              <w:autoSpaceDE/>
              <w:autoSpaceDN/>
              <w:contextualSpacing/>
              <w:jc w:val="center"/>
              <w:rPr>
                <w:rFonts w:hint="eastAsia" w:ascii="宋体" w:hAnsi="宋体" w:eastAsia="宋体" w:cs="宋体"/>
                <w:kern w:val="0"/>
                <w:sz w:val="18"/>
                <w:szCs w:val="18"/>
                <w:lang w:val="en-US" w:eastAsia="zh-CN" w:bidi="ar-SA"/>
              </w:rPr>
            </w:pPr>
            <w:r>
              <w:rPr>
                <w:rFonts w:hint="eastAsia" w:ascii="仿宋" w:hAnsi="仿宋" w:eastAsia="仿宋" w:cs="仿宋"/>
                <w:color w:val="auto"/>
                <w:kern w:val="0"/>
                <w:sz w:val="21"/>
                <w:szCs w:val="21"/>
                <w:highlight w:val="none"/>
                <w:lang w:val="en-US" w:eastAsia="zh-CN" w:bidi="ar-SA"/>
              </w:rPr>
              <w:t>耐湿摩擦色牢度</w:t>
            </w:r>
          </w:p>
        </w:tc>
        <w:tc>
          <w:tcPr>
            <w:tcW w:w="2762" w:type="dxa"/>
            <w:vMerge w:val="continue"/>
            <w:tcBorders>
              <w:left w:val="single" w:color="auto" w:sz="4" w:space="0"/>
              <w:bottom w:val="single" w:color="auto" w:sz="6" w:space="0"/>
              <w:right w:val="single" w:color="auto" w:sz="4" w:space="0"/>
            </w:tcBorders>
            <w:noWrap w:val="0"/>
            <w:vAlign w:val="center"/>
          </w:tcPr>
          <w:p w14:paraId="46994E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Times New Roman"/>
                <w:sz w:val="18"/>
                <w:szCs w:val="18"/>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55FC82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3920-2008</w:t>
            </w:r>
          </w:p>
        </w:tc>
      </w:tr>
      <w:tr w14:paraId="75EA0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3F17AB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00CB68">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GB" w:eastAsia="zh-CN" w:bidi="ar-SA"/>
              </w:rPr>
              <w:t>绳带</w:t>
            </w:r>
          </w:p>
        </w:tc>
        <w:tc>
          <w:tcPr>
            <w:tcW w:w="2762" w:type="dxa"/>
            <w:vMerge w:val="restart"/>
            <w:tcBorders>
              <w:left w:val="single" w:color="auto" w:sz="4" w:space="0"/>
              <w:right w:val="single" w:color="auto" w:sz="4" w:space="0"/>
            </w:tcBorders>
            <w:noWrap w:val="0"/>
            <w:vAlign w:val="center"/>
          </w:tcPr>
          <w:p w14:paraId="20B949EC">
            <w:pPr>
              <w:jc w:val="center"/>
              <w:rPr>
                <w:rFonts w:hint="eastAsia" w:ascii="宋体" w:hAnsi="宋体" w:eastAsia="宋体" w:cs="宋体"/>
                <w:kern w:val="0"/>
                <w:sz w:val="18"/>
                <w:szCs w:val="18"/>
                <w:lang w:val="en-US" w:eastAsia="zh-CN"/>
              </w:rPr>
            </w:pPr>
            <w:r>
              <w:rPr>
                <w:rFonts w:hint="eastAsia" w:ascii="仿宋" w:hAnsi="仿宋" w:eastAsia="仿宋" w:cs="仿宋"/>
                <w:sz w:val="21"/>
                <w:szCs w:val="21"/>
                <w:lang w:val="en-US" w:eastAsia="zh-CN"/>
              </w:rPr>
              <w:t>GB 31701-2015</w:t>
            </w:r>
          </w:p>
        </w:tc>
        <w:tc>
          <w:tcPr>
            <w:tcW w:w="2994" w:type="dxa"/>
            <w:tcBorders>
              <w:top w:val="single" w:color="auto" w:sz="4" w:space="0"/>
              <w:left w:val="single" w:color="auto" w:sz="4" w:space="0"/>
              <w:bottom w:val="single" w:color="auto" w:sz="4" w:space="0"/>
              <w:right w:val="single" w:color="auto" w:sz="4" w:space="0"/>
            </w:tcBorders>
            <w:noWrap w:val="0"/>
            <w:vAlign w:val="center"/>
          </w:tcPr>
          <w:p w14:paraId="7309C89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 31701-2015</w:t>
            </w:r>
          </w:p>
        </w:tc>
      </w:tr>
      <w:tr w14:paraId="3F5ED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noWrap w:val="0"/>
            <w:vAlign w:val="center"/>
          </w:tcPr>
          <w:p w14:paraId="773F82A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155E6067">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GB" w:eastAsia="zh-CN" w:bidi="ar-SA"/>
              </w:rPr>
              <w:t>附件锐利性</w:t>
            </w:r>
          </w:p>
        </w:tc>
        <w:tc>
          <w:tcPr>
            <w:tcW w:w="2762" w:type="dxa"/>
            <w:vMerge w:val="continue"/>
            <w:tcBorders>
              <w:left w:val="single" w:color="auto" w:sz="4" w:space="0"/>
              <w:right w:val="single" w:color="auto" w:sz="4" w:space="0"/>
            </w:tcBorders>
            <w:noWrap w:val="0"/>
            <w:vAlign w:val="center"/>
          </w:tcPr>
          <w:p w14:paraId="6A2B4EE2">
            <w:pPr>
              <w:jc w:val="center"/>
              <w:rPr>
                <w:rFonts w:hint="eastAsia" w:ascii="宋体" w:hAnsi="宋体" w:eastAsia="宋体" w:cs="宋体"/>
                <w:kern w:val="0"/>
                <w:sz w:val="18"/>
                <w:szCs w:val="18"/>
                <w:lang w:val="en-US" w:eastAsia="zh-CN"/>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784ABDC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 xml:space="preserve">GB/T 31702-2015 </w:t>
            </w:r>
          </w:p>
        </w:tc>
      </w:tr>
      <w:tr w14:paraId="4975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121B7B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8</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363C2704">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残留金属针</w:t>
            </w:r>
          </w:p>
        </w:tc>
        <w:tc>
          <w:tcPr>
            <w:tcW w:w="2762" w:type="dxa"/>
            <w:vMerge w:val="continue"/>
            <w:tcBorders>
              <w:left w:val="single" w:color="auto" w:sz="4" w:space="0"/>
              <w:bottom w:val="single" w:color="auto" w:sz="6" w:space="0"/>
              <w:right w:val="single" w:color="auto" w:sz="4" w:space="0"/>
            </w:tcBorders>
            <w:noWrap w:val="0"/>
            <w:vAlign w:val="center"/>
          </w:tcPr>
          <w:p w14:paraId="00A7AAF3">
            <w:pPr>
              <w:jc w:val="center"/>
              <w:rPr>
                <w:rFonts w:hint="eastAsia" w:ascii="宋体" w:hAnsi="宋体" w:eastAsia="宋体" w:cs="宋体"/>
                <w:kern w:val="0"/>
                <w:sz w:val="18"/>
                <w:szCs w:val="18"/>
                <w:lang w:val="en-US" w:eastAsia="zh-CN"/>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644416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24121-2009</w:t>
            </w:r>
          </w:p>
        </w:tc>
      </w:tr>
      <w:tr w14:paraId="03460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930B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9</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596C64">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纤维含量</w:t>
            </w:r>
          </w:p>
        </w:tc>
        <w:tc>
          <w:tcPr>
            <w:tcW w:w="2762" w:type="dxa"/>
            <w:tcBorders>
              <w:top w:val="single" w:color="auto" w:sz="6" w:space="0"/>
              <w:left w:val="single" w:color="auto" w:sz="4" w:space="0"/>
              <w:bottom w:val="single" w:color="auto" w:sz="6" w:space="0"/>
              <w:right w:val="single" w:color="auto" w:sz="4" w:space="0"/>
            </w:tcBorders>
            <w:shd w:val="clear" w:color="auto" w:fill="auto"/>
            <w:noWrap w:val="0"/>
            <w:vAlign w:val="center"/>
          </w:tcPr>
          <w:p w14:paraId="46AB1B23">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GB/T 29862-2013</w:t>
            </w:r>
          </w:p>
          <w:p w14:paraId="0AA705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80026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01057</w:t>
            </w:r>
          </w:p>
          <w:p w14:paraId="4B3D2D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01026</w:t>
            </w:r>
          </w:p>
          <w:p w14:paraId="1020F2E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01101</w:t>
            </w:r>
          </w:p>
          <w:p w14:paraId="48E7F5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仿宋" w:hAnsi="仿宋" w:eastAsia="仿宋" w:cs="仿宋"/>
                <w:color w:val="auto"/>
                <w:kern w:val="0"/>
                <w:sz w:val="21"/>
                <w:szCs w:val="21"/>
                <w:highlight w:val="none"/>
                <w:lang w:val="en-US" w:eastAsia="zh-CN" w:bidi="ar-SA"/>
              </w:rPr>
              <w:t>GB/T 2910等</w:t>
            </w:r>
          </w:p>
        </w:tc>
      </w:tr>
    </w:tbl>
    <w:p w14:paraId="31E6B14E">
      <w:pPr>
        <w:spacing w:line="5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检验方法包括相关产品标准及试验方法标准。</w:t>
      </w:r>
    </w:p>
    <w:p w14:paraId="4273E64B">
      <w:pPr>
        <w:spacing w:line="56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凡是注日期的文件，其随后所有的修改单（不包括勘误的内容）或修订版不适用于本细则。凡是不注日期的文件，其最新版本适用于本细则。</w:t>
      </w:r>
    </w:p>
    <w:p w14:paraId="6BED87D8">
      <w:pPr>
        <w:spacing w:line="560" w:lineRule="exact"/>
        <w:ind w:firstLine="480" w:firstLineChars="200"/>
        <w:rPr>
          <w:rFonts w:hint="eastAsia" w:asciiTheme="minorEastAsia" w:hAnsiTheme="minorEastAsia" w:eastAsiaTheme="minorEastAsia" w:cstheme="minorEastAsia"/>
          <w:b/>
          <w:kern w:val="0"/>
          <w:sz w:val="32"/>
          <w:szCs w:val="32"/>
          <w:shd w:val="clear" w:color="auto" w:fill="FFFFFF"/>
        </w:rPr>
      </w:pPr>
      <w:r>
        <w:rPr>
          <w:rFonts w:hint="eastAsia" w:ascii="黑体" w:hAnsi="黑体" w:eastAsia="黑体" w:cs="黑体"/>
          <w:b w:val="0"/>
          <w:bCs w:val="0"/>
          <w:kern w:val="2"/>
          <w:sz w:val="24"/>
          <w:szCs w:val="24"/>
          <w:lang w:val="en-US" w:eastAsia="zh-CN" w:bidi="ar-SA"/>
        </w:rPr>
        <w:t>4.判定规则</w:t>
      </w:r>
    </w:p>
    <w:p w14:paraId="1E56AAF4">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4.1依据标准</w:t>
      </w:r>
    </w:p>
    <w:p w14:paraId="50764CA4">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 31701-2015《婴幼儿及儿童纺织产品安全技术规范》</w:t>
      </w:r>
    </w:p>
    <w:p w14:paraId="51CF41B2">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default" w:ascii="宋体" w:hAnsi="宋体" w:eastAsia="宋体" w:cs="宋体"/>
          <w:sz w:val="24"/>
          <w:szCs w:val="24"/>
          <w:lang w:val="en-US" w:eastAsia="zh-CN"/>
        </w:rPr>
        <w:t>GB/T 29862-2013</w:t>
      </w:r>
      <w:r>
        <w:rPr>
          <w:rFonts w:hint="eastAsia" w:ascii="宋体" w:hAnsi="宋体" w:eastAsia="宋体" w:cs="宋体"/>
          <w:sz w:val="24"/>
          <w:szCs w:val="24"/>
          <w:lang w:val="en-US" w:eastAsia="zh-CN"/>
        </w:rPr>
        <w:t>《纺织品 纤维含量的标识》</w:t>
      </w:r>
    </w:p>
    <w:p w14:paraId="002F057F">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31900-2015《机织</w:t>
      </w:r>
      <w:r>
        <w:rPr>
          <w:rFonts w:hint="eastAsia" w:ascii="宋体" w:hAnsi="宋体" w:eastAsia="宋体" w:cs="宋体"/>
          <w:sz w:val="24"/>
          <w:szCs w:val="24"/>
          <w:lang w:val="en-US" w:eastAsia="zh-CN"/>
        </w:rPr>
        <w:t>儿童服装》</w:t>
      </w:r>
    </w:p>
    <w:p w14:paraId="267342FC">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31900-2024《机织儿童服装》</w:t>
      </w:r>
    </w:p>
    <w:p w14:paraId="01557210">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33271-2016《机织婴幼儿服装》</w:t>
      </w:r>
    </w:p>
    <w:p w14:paraId="524DD2D1">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39508—2020《针织婴幼儿及儿童服装》</w:t>
      </w:r>
    </w:p>
    <w:p w14:paraId="2D3736B6">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en-US" w:eastAsia="zh-CN"/>
        </w:rPr>
        <w:t>FZ/T 73025-2019《婴幼儿针织服饰》</w:t>
      </w:r>
      <w:r>
        <w:rPr>
          <w:rFonts w:hint="eastAsia" w:ascii="宋体" w:hAnsi="宋体" w:eastAsia="宋体" w:cs="宋体"/>
          <w:sz w:val="24"/>
          <w:szCs w:val="24"/>
          <w:lang w:val="en-US" w:eastAsia="zh-CN"/>
        </w:rPr>
        <w:t xml:space="preserve"> </w:t>
      </w:r>
    </w:p>
    <w:p w14:paraId="3824CBFD">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zh-Hans" w:eastAsia="zh-CN"/>
        </w:rPr>
        <w:t>现行有效的企业标准、团体标准、地方标准及产品明示质量要求</w:t>
      </w:r>
    </w:p>
    <w:p w14:paraId="68A26953">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宋体" w:hAnsi="宋体" w:eastAsia="宋体" w:cs="宋体"/>
          <w:sz w:val="24"/>
          <w:szCs w:val="24"/>
          <w:lang w:val="en-US" w:eastAsia="zh-CN"/>
        </w:rPr>
      </w:pPr>
      <w:r>
        <w:rPr>
          <w:rFonts w:hint="eastAsia" w:ascii="黑体" w:hAnsi="黑体" w:eastAsia="黑体" w:cs="黑体"/>
          <w:b w:val="0"/>
          <w:bCs w:val="0"/>
          <w:kern w:val="2"/>
          <w:sz w:val="24"/>
          <w:szCs w:val="24"/>
          <w:lang w:val="en-US" w:eastAsia="zh-CN" w:bidi="ar-SA"/>
        </w:rPr>
        <w:t>4.2判定原则</w:t>
      </w:r>
    </w:p>
    <w:p w14:paraId="0D1B4751">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经检验，检验项目全部合格，判定为被抽查产品合格；检验项目中任一项或一项以上不合格，判定为被抽查产品不合格。</w:t>
      </w:r>
    </w:p>
    <w:p w14:paraId="0274403C">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若被检产品明示的质量要求高于本细则中检验项目依据的标准要求时，应按被检产品明示的质量要求判定。</w:t>
      </w:r>
    </w:p>
    <w:p w14:paraId="3DD0BE05">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若被检产品标示的质量要求低于本细则中检验项目依据的强制性标准要求时，应按照强制性标准要求判定。</w:t>
      </w:r>
    </w:p>
    <w:p w14:paraId="6DDDD092">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zh-Hans" w:eastAsia="zh-CN"/>
        </w:rPr>
        <w:t>若被检产品明示的质量要求低于或包含细则中检验项目依据的推荐性标准要求时，应以被检产品明示的质量要求判定，</w:t>
      </w:r>
      <w:r>
        <w:rPr>
          <w:rFonts w:hint="eastAsia" w:ascii="宋体" w:hAnsi="宋体" w:eastAsia="宋体" w:cs="宋体"/>
          <w:sz w:val="24"/>
          <w:szCs w:val="24"/>
          <w:lang w:val="en-US" w:eastAsia="zh-CN"/>
        </w:rPr>
        <w:t>但应在检验报告备注中进行说明。</w:t>
      </w:r>
    </w:p>
    <w:p w14:paraId="2267C9A5">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若被检产品明示的质量要求缺少本细则中检验项目依据的强制性标准要求时，应按照强制性标准要求判定。</w:t>
      </w:r>
    </w:p>
    <w:p w14:paraId="3EA5B0D4">
      <w:pPr>
        <w:keepNext w:val="0"/>
        <w:keepLines w:val="0"/>
        <w:pageBreakBefore w:val="0"/>
        <w:widowControl w:val="0"/>
        <w:kinsoku/>
        <w:wordWrap/>
        <w:overflowPunct/>
        <w:topLinePunct w:val="0"/>
        <w:autoSpaceDE/>
        <w:autoSpaceDN/>
        <w:bidi w:val="0"/>
        <w:adjustRightInd/>
        <w:spacing w:line="480" w:lineRule="exact"/>
        <w:ind w:firstLine="480" w:firstLineChars="200"/>
        <w:contextualSpacing/>
        <w:textAlignment w:val="auto"/>
        <w:rPr>
          <w:rFonts w:hint="eastAsia"/>
          <w:lang w:val="zh-Hans" w:eastAsia="zh-CN"/>
        </w:rPr>
      </w:pPr>
      <w:r>
        <w:rPr>
          <w:rFonts w:hint="eastAsia" w:ascii="宋体" w:hAnsi="宋体" w:eastAsia="宋体" w:cs="宋体"/>
          <w:sz w:val="24"/>
          <w:szCs w:val="24"/>
          <w:lang w:val="zh-Hans" w:eastAsia="zh-CN"/>
        </w:rPr>
        <w:t>若被检产品明示的质量要求缺少本细则中检验项目依据的推荐性标准要求时，该项目不参与判定，但应在检验报告备注中进行说明。</w:t>
      </w:r>
    </w:p>
    <w:p w14:paraId="797D73E0">
      <w:pPr>
        <w:spacing w:line="560" w:lineRule="exact"/>
        <w:ind w:firstLine="480" w:firstLineChars="200"/>
        <w:rPr>
          <w:rFonts w:hint="eastAsia" w:ascii="宋体" w:hAnsi="宋体" w:eastAsia="宋体" w:cs="宋体"/>
          <w:sz w:val="24"/>
          <w:szCs w:val="24"/>
          <w:lang w:eastAsia="zh-CN"/>
        </w:rPr>
      </w:pPr>
      <w:r>
        <w:rPr>
          <w:rFonts w:hint="eastAsia" w:ascii="黑体" w:hAnsi="黑体" w:eastAsia="黑体" w:cs="黑体"/>
          <w:b w:val="0"/>
          <w:bCs w:val="0"/>
          <w:kern w:val="2"/>
          <w:sz w:val="24"/>
          <w:szCs w:val="24"/>
          <w:lang w:val="en-US" w:eastAsia="zh-CN" w:bidi="ar-SA"/>
        </w:rPr>
        <w:t>5.异议处理</w:t>
      </w:r>
    </w:p>
    <w:p w14:paraId="5AF0D4BF">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z w:val="24"/>
          <w:szCs w:val="24"/>
          <w:lang w:val="en-US" w:eastAsia="zh-CN"/>
        </w:rPr>
        <w:t xml:space="preserve">1 </w:t>
      </w:r>
      <w:r>
        <w:rPr>
          <w:rFonts w:hint="eastAsia" w:ascii="宋体" w:hAnsi="宋体" w:eastAsia="宋体" w:cs="宋体"/>
          <w:sz w:val="24"/>
          <w:szCs w:val="24"/>
          <w:lang w:eastAsia="zh-CN"/>
        </w:rPr>
        <w:t>对监督抽查程序有异议的，</w:t>
      </w:r>
      <w:r>
        <w:rPr>
          <w:rFonts w:hint="eastAsia" w:ascii="宋体" w:hAnsi="宋体" w:eastAsia="宋体" w:cs="宋体"/>
          <w:sz w:val="24"/>
          <w:szCs w:val="24"/>
          <w:lang w:val="en-US" w:eastAsia="zh-CN"/>
        </w:rPr>
        <w:t>由任务下达部门</w:t>
      </w:r>
      <w:r>
        <w:rPr>
          <w:rFonts w:hint="eastAsia" w:ascii="宋体" w:hAnsi="宋体" w:eastAsia="宋体" w:cs="宋体"/>
          <w:sz w:val="24"/>
          <w:szCs w:val="24"/>
          <w:lang w:eastAsia="zh-CN"/>
        </w:rPr>
        <w:t>核查相关证据后维持或者撤销原检验结果。</w:t>
      </w:r>
    </w:p>
    <w:p w14:paraId="3E8774E5">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5.2 </w:t>
      </w:r>
      <w:r>
        <w:rPr>
          <w:rFonts w:hint="eastAsia" w:ascii="宋体" w:hAnsi="宋体" w:eastAsia="宋体" w:cs="宋体"/>
          <w:sz w:val="24"/>
          <w:szCs w:val="24"/>
          <w:lang w:eastAsia="zh-CN"/>
        </w:rPr>
        <w:t>对检验结果有异议的，</w:t>
      </w:r>
      <w:r>
        <w:rPr>
          <w:rFonts w:hint="eastAsia" w:ascii="宋体" w:hAnsi="宋体" w:eastAsia="宋体" w:cs="宋体"/>
          <w:sz w:val="24"/>
          <w:szCs w:val="24"/>
          <w:lang w:val="en-US" w:eastAsia="zh-CN"/>
        </w:rPr>
        <w:t>任务下达部门</w:t>
      </w:r>
      <w:r>
        <w:rPr>
          <w:rFonts w:hint="eastAsia" w:ascii="宋体" w:hAnsi="宋体" w:eastAsia="宋体" w:cs="宋体"/>
          <w:sz w:val="24"/>
          <w:szCs w:val="24"/>
          <w:lang w:eastAsia="zh-CN"/>
        </w:rPr>
        <w:t>核查相关证据，能够证明原检验结果准确的，维持原检验结果；不能证明原检验结果准确，需要进行复检的，由任务下达部门指定复检机构进行复检，复检结果为本次监督抽查最终结论。</w:t>
      </w:r>
    </w:p>
    <w:p w14:paraId="63651F2F">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 xml:space="preserve"> </w:t>
      </w:r>
      <w:r>
        <w:rPr>
          <w:rFonts w:hint="eastAsia" w:ascii="宋体" w:hAnsi="宋体" w:eastAsia="宋体" w:cs="宋体"/>
          <w:sz w:val="24"/>
          <w:szCs w:val="24"/>
          <w:lang w:val="zh-Hans" w:eastAsia="zh-CN"/>
        </w:rPr>
        <w:t>对样品信息有异议的，</w:t>
      </w:r>
      <w:r>
        <w:rPr>
          <w:rFonts w:hint="eastAsia" w:ascii="宋体" w:hAnsi="宋体" w:eastAsia="宋体" w:cs="宋体"/>
          <w:sz w:val="24"/>
          <w:szCs w:val="24"/>
          <w:lang w:val="en-US" w:eastAsia="zh-CN"/>
        </w:rPr>
        <w:t>任务下达部门</w:t>
      </w:r>
      <w:r>
        <w:rPr>
          <w:rFonts w:hint="eastAsia" w:ascii="宋体" w:hAnsi="宋体" w:eastAsia="宋体" w:cs="宋体"/>
          <w:sz w:val="24"/>
          <w:szCs w:val="24"/>
          <w:lang w:val="zh-Hans" w:eastAsia="zh-CN"/>
        </w:rPr>
        <w:t>核查样品确认情况和生产企业提交证明材料</w:t>
      </w:r>
      <w:r>
        <w:rPr>
          <w:rFonts w:hint="eastAsia" w:ascii="宋体" w:hAnsi="宋体" w:eastAsia="宋体" w:cs="宋体"/>
          <w:sz w:val="24"/>
          <w:szCs w:val="24"/>
          <w:lang w:val="en-US" w:eastAsia="zh-CN"/>
        </w:rPr>
        <w:t>后，</w:t>
      </w:r>
      <w:r>
        <w:rPr>
          <w:rFonts w:hint="eastAsia" w:ascii="宋体" w:hAnsi="宋体" w:eastAsia="宋体" w:cs="宋体"/>
          <w:sz w:val="24"/>
          <w:szCs w:val="24"/>
          <w:lang w:val="zh-Hans" w:eastAsia="zh-CN"/>
        </w:rPr>
        <w:t>维持或者撤销原检验结果。</w:t>
      </w:r>
    </w:p>
    <w:p w14:paraId="2DD74617">
      <w:pPr>
        <w:spacing w:line="560" w:lineRule="exact"/>
        <w:rPr>
          <w:rFonts w:hint="eastAsia" w:asciiTheme="minorEastAsia" w:hAnsiTheme="minorEastAsia" w:eastAsiaTheme="minorEastAsia" w:cstheme="minorEastAsia"/>
          <w:sz w:val="32"/>
          <w:szCs w:val="32"/>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B42C700-A341-4690-AEDF-D0F8856B6BAA}"/>
  </w:font>
  <w:font w:name="Arial">
    <w:panose1 w:val="020B0604020202020204"/>
    <w:charset w:val="01"/>
    <w:family w:val="swiss"/>
    <w:pitch w:val="default"/>
    <w:sig w:usb0="E0002EFF" w:usb1="C000785B" w:usb2="00000009" w:usb3="00000000" w:csb0="400001FF" w:csb1="FFFF0000"/>
    <w:embedRegular r:id="rId2" w:fontKey="{6F627405-30DA-453B-950E-1123302D8A17}"/>
  </w:font>
  <w:font w:name="黑体">
    <w:panose1 w:val="02010609060101010101"/>
    <w:charset w:val="86"/>
    <w:family w:val="auto"/>
    <w:pitch w:val="default"/>
    <w:sig w:usb0="800002BF" w:usb1="38CF7CFA" w:usb2="00000016" w:usb3="00000000" w:csb0="00040001" w:csb1="00000000"/>
    <w:embedRegular r:id="rId3" w:fontKey="{EB43CD11-A05C-449B-A609-4C764DE9CFEB}"/>
  </w:font>
  <w:font w:name="Courier New">
    <w:panose1 w:val="02070309020205020404"/>
    <w:charset w:val="01"/>
    <w:family w:val="modern"/>
    <w:pitch w:val="default"/>
    <w:sig w:usb0="E0002EFF" w:usb1="C0007843" w:usb2="00000009" w:usb3="00000000" w:csb0="400001FF" w:csb1="FFFF0000"/>
    <w:embedRegular r:id="rId4" w:fontKey="{0C5BF247-0A80-4C67-99CB-CD310904699E}"/>
  </w:font>
  <w:font w:name="Symbol">
    <w:panose1 w:val="05050102010706020507"/>
    <w:charset w:val="02"/>
    <w:family w:val="roman"/>
    <w:pitch w:val="default"/>
    <w:sig w:usb0="00000000" w:usb1="00000000" w:usb2="00000000" w:usb3="00000000" w:csb0="80000000" w:csb1="00000000"/>
    <w:embedRegular r:id="rId5" w:fontKey="{AEA3DD9D-952B-445C-88CE-75E536396716}"/>
  </w:font>
  <w:font w:name="Calibri">
    <w:panose1 w:val="020F0502020204030204"/>
    <w:charset w:val="00"/>
    <w:family w:val="swiss"/>
    <w:pitch w:val="default"/>
    <w:sig w:usb0="E4002EFF" w:usb1="C000247B" w:usb2="00000009" w:usb3="00000000" w:csb0="200001FF" w:csb1="00000000"/>
    <w:embedRegular r:id="rId6" w:fontKey="{F84E50C0-301D-41CA-B3D7-F1374B16B6AE}"/>
  </w:font>
  <w:font w:name="Cambria">
    <w:panose1 w:val="02040503050406030204"/>
    <w:charset w:val="00"/>
    <w:family w:val="roman"/>
    <w:pitch w:val="default"/>
    <w:sig w:usb0="E00006FF" w:usb1="420024FF" w:usb2="02000000" w:usb3="00000000" w:csb0="2000019F" w:csb1="00000000"/>
    <w:embedRegular r:id="rId7" w:fontKey="{09802548-72E9-4B73-A8B4-6F04BE2D7CD6}"/>
  </w:font>
  <w:font w:name="仿宋">
    <w:panose1 w:val="02010609060101010101"/>
    <w:charset w:val="86"/>
    <w:family w:val="auto"/>
    <w:pitch w:val="default"/>
    <w:sig w:usb0="800002BF" w:usb1="38CF7CFA" w:usb2="00000016" w:usb3="00000000" w:csb0="00040001" w:csb1="00000000"/>
    <w:embedRegular r:id="rId8" w:fontKey="{618E60AF-F87B-4061-A091-08F969C718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529A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817D4D">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5F817D4D">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lvl>
    <w:lvl w:ilvl="1" w:tentative="0">
      <w:start w:val="1"/>
      <w:numFmt w:val="none"/>
      <w:suff w:val="nothing"/>
      <w:lvlText w:val=""/>
      <w:lvlJc w:val="left"/>
    </w:lvl>
    <w:lvl w:ilvl="2" w:tentative="0">
      <w:start w:val="1"/>
      <w:numFmt w:val="none"/>
      <w:suff w:val="nothing"/>
      <w:lvlText w:val=""/>
      <w:lvlJc w:val="left"/>
    </w:lvl>
    <w:lvl w:ilvl="3" w:tentative="0">
      <w:start w:val="1"/>
      <w:numFmt w:val="none"/>
      <w:pStyle w:val="2"/>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ZGVhMGJlNWNlNjQ1MjA5ODIxMWE4YjMxZTcyYmIifQ=="/>
  </w:docVars>
  <w:rsids>
    <w:rsidRoot w:val="00744561"/>
    <w:rsid w:val="000371A9"/>
    <w:rsid w:val="00080156"/>
    <w:rsid w:val="000D3D53"/>
    <w:rsid w:val="000E3571"/>
    <w:rsid w:val="001230FB"/>
    <w:rsid w:val="00183062"/>
    <w:rsid w:val="001B1353"/>
    <w:rsid w:val="001E570B"/>
    <w:rsid w:val="00211F8D"/>
    <w:rsid w:val="002211EC"/>
    <w:rsid w:val="0032500B"/>
    <w:rsid w:val="003478D6"/>
    <w:rsid w:val="003C3FE8"/>
    <w:rsid w:val="003D4A39"/>
    <w:rsid w:val="00426676"/>
    <w:rsid w:val="0045248A"/>
    <w:rsid w:val="00454EE8"/>
    <w:rsid w:val="00546471"/>
    <w:rsid w:val="00566D3A"/>
    <w:rsid w:val="00575F51"/>
    <w:rsid w:val="005B0041"/>
    <w:rsid w:val="005D1103"/>
    <w:rsid w:val="005D2A55"/>
    <w:rsid w:val="006658DC"/>
    <w:rsid w:val="006B1036"/>
    <w:rsid w:val="006F6470"/>
    <w:rsid w:val="00744561"/>
    <w:rsid w:val="00761E35"/>
    <w:rsid w:val="008A1BCE"/>
    <w:rsid w:val="00914A34"/>
    <w:rsid w:val="00990D5D"/>
    <w:rsid w:val="009C0172"/>
    <w:rsid w:val="009C4D6F"/>
    <w:rsid w:val="009E256E"/>
    <w:rsid w:val="00A34C19"/>
    <w:rsid w:val="00B019B0"/>
    <w:rsid w:val="00B63CBC"/>
    <w:rsid w:val="00B84AD2"/>
    <w:rsid w:val="00BA6DD2"/>
    <w:rsid w:val="00BE4B7B"/>
    <w:rsid w:val="00BE7F7B"/>
    <w:rsid w:val="00C26F17"/>
    <w:rsid w:val="00C76339"/>
    <w:rsid w:val="00CD3A74"/>
    <w:rsid w:val="00D128DD"/>
    <w:rsid w:val="00DF2AD7"/>
    <w:rsid w:val="00E21404"/>
    <w:rsid w:val="00E81945"/>
    <w:rsid w:val="00EA42E2"/>
    <w:rsid w:val="00EA75E3"/>
    <w:rsid w:val="00F200B1"/>
    <w:rsid w:val="00F3458F"/>
    <w:rsid w:val="00F44D30"/>
    <w:rsid w:val="00F752A3"/>
    <w:rsid w:val="00FD23BD"/>
    <w:rsid w:val="01AD28B3"/>
    <w:rsid w:val="02181DA2"/>
    <w:rsid w:val="02BD09A0"/>
    <w:rsid w:val="02D8241A"/>
    <w:rsid w:val="04647B49"/>
    <w:rsid w:val="057B6FF0"/>
    <w:rsid w:val="05D5236E"/>
    <w:rsid w:val="06F55FBC"/>
    <w:rsid w:val="07737B08"/>
    <w:rsid w:val="09E57ECE"/>
    <w:rsid w:val="0CDB139A"/>
    <w:rsid w:val="0D5643C2"/>
    <w:rsid w:val="0D6138DC"/>
    <w:rsid w:val="0DA812CD"/>
    <w:rsid w:val="0E2D66F7"/>
    <w:rsid w:val="0EB6310D"/>
    <w:rsid w:val="125179D8"/>
    <w:rsid w:val="132D37CD"/>
    <w:rsid w:val="15FC797D"/>
    <w:rsid w:val="164120A4"/>
    <w:rsid w:val="164B1FDE"/>
    <w:rsid w:val="180C1F5F"/>
    <w:rsid w:val="180F3B70"/>
    <w:rsid w:val="183550DE"/>
    <w:rsid w:val="189D643D"/>
    <w:rsid w:val="191E736A"/>
    <w:rsid w:val="1AE5198A"/>
    <w:rsid w:val="1BE67576"/>
    <w:rsid w:val="1C2E2B02"/>
    <w:rsid w:val="1C3042EC"/>
    <w:rsid w:val="1C637FD8"/>
    <w:rsid w:val="1E416644"/>
    <w:rsid w:val="1EA821A0"/>
    <w:rsid w:val="1EF42AC3"/>
    <w:rsid w:val="1F8A30AA"/>
    <w:rsid w:val="226675F1"/>
    <w:rsid w:val="22821833"/>
    <w:rsid w:val="22EE7375"/>
    <w:rsid w:val="254D5ACB"/>
    <w:rsid w:val="25A06573"/>
    <w:rsid w:val="25A86641"/>
    <w:rsid w:val="25B9427E"/>
    <w:rsid w:val="27811E61"/>
    <w:rsid w:val="279648EC"/>
    <w:rsid w:val="28C50E71"/>
    <w:rsid w:val="29CB343F"/>
    <w:rsid w:val="2A574B80"/>
    <w:rsid w:val="2AC14A13"/>
    <w:rsid w:val="2BB00875"/>
    <w:rsid w:val="2C25142D"/>
    <w:rsid w:val="2E346081"/>
    <w:rsid w:val="2E5F7915"/>
    <w:rsid w:val="2E88099B"/>
    <w:rsid w:val="2EEC4152"/>
    <w:rsid w:val="2EF15ED4"/>
    <w:rsid w:val="2F1D39F9"/>
    <w:rsid w:val="2F8C6E0B"/>
    <w:rsid w:val="327B11AA"/>
    <w:rsid w:val="32AC0386"/>
    <w:rsid w:val="34A72AC8"/>
    <w:rsid w:val="34DF500B"/>
    <w:rsid w:val="353859C6"/>
    <w:rsid w:val="35541310"/>
    <w:rsid w:val="35BB32A1"/>
    <w:rsid w:val="367400C4"/>
    <w:rsid w:val="36837F21"/>
    <w:rsid w:val="37C923C6"/>
    <w:rsid w:val="385E6CA2"/>
    <w:rsid w:val="38727DF9"/>
    <w:rsid w:val="392C7B50"/>
    <w:rsid w:val="3A825A8A"/>
    <w:rsid w:val="3ADB3DEB"/>
    <w:rsid w:val="3B4A4C7B"/>
    <w:rsid w:val="3BD44B7B"/>
    <w:rsid w:val="3BDF4E57"/>
    <w:rsid w:val="3D962AC3"/>
    <w:rsid w:val="40433627"/>
    <w:rsid w:val="40F76D23"/>
    <w:rsid w:val="447B0800"/>
    <w:rsid w:val="463F52C3"/>
    <w:rsid w:val="471E4AAE"/>
    <w:rsid w:val="47245F3D"/>
    <w:rsid w:val="47900D6C"/>
    <w:rsid w:val="47D36DA9"/>
    <w:rsid w:val="484203E8"/>
    <w:rsid w:val="4A3A1B6A"/>
    <w:rsid w:val="4A5E657A"/>
    <w:rsid w:val="4A970E70"/>
    <w:rsid w:val="4AC9309A"/>
    <w:rsid w:val="4AEF0BFF"/>
    <w:rsid w:val="4B122F39"/>
    <w:rsid w:val="4BD16822"/>
    <w:rsid w:val="4BFB0342"/>
    <w:rsid w:val="4C223DA5"/>
    <w:rsid w:val="4D1B65E4"/>
    <w:rsid w:val="4D3E11C3"/>
    <w:rsid w:val="4DBA05CF"/>
    <w:rsid w:val="4DD70A85"/>
    <w:rsid w:val="4EE52B0D"/>
    <w:rsid w:val="4F0E2AF0"/>
    <w:rsid w:val="4F8D7CA1"/>
    <w:rsid w:val="505D157F"/>
    <w:rsid w:val="519D5BDA"/>
    <w:rsid w:val="51DF4ED9"/>
    <w:rsid w:val="56D23491"/>
    <w:rsid w:val="57030489"/>
    <w:rsid w:val="57D734D8"/>
    <w:rsid w:val="5984175E"/>
    <w:rsid w:val="5A6C7B3B"/>
    <w:rsid w:val="5B062930"/>
    <w:rsid w:val="5B235C95"/>
    <w:rsid w:val="5B77456E"/>
    <w:rsid w:val="5E3061F4"/>
    <w:rsid w:val="5E5703D0"/>
    <w:rsid w:val="5ECA7FB8"/>
    <w:rsid w:val="5FC10EDD"/>
    <w:rsid w:val="5FD77448"/>
    <w:rsid w:val="60C51566"/>
    <w:rsid w:val="61DA1165"/>
    <w:rsid w:val="61F80195"/>
    <w:rsid w:val="623531AD"/>
    <w:rsid w:val="62F15355"/>
    <w:rsid w:val="64B21F93"/>
    <w:rsid w:val="64D218B0"/>
    <w:rsid w:val="653C2B96"/>
    <w:rsid w:val="65780602"/>
    <w:rsid w:val="683067E4"/>
    <w:rsid w:val="68426248"/>
    <w:rsid w:val="68BE2BAE"/>
    <w:rsid w:val="69270FEB"/>
    <w:rsid w:val="69BE03E7"/>
    <w:rsid w:val="69E806D0"/>
    <w:rsid w:val="6A9F1CDF"/>
    <w:rsid w:val="6AA40D85"/>
    <w:rsid w:val="6AE42B66"/>
    <w:rsid w:val="6B0B7C00"/>
    <w:rsid w:val="6BE829FA"/>
    <w:rsid w:val="6C7A1848"/>
    <w:rsid w:val="6EAA4094"/>
    <w:rsid w:val="6F8E2C13"/>
    <w:rsid w:val="6FB118E5"/>
    <w:rsid w:val="71325F73"/>
    <w:rsid w:val="713D6E60"/>
    <w:rsid w:val="729658F3"/>
    <w:rsid w:val="730F7282"/>
    <w:rsid w:val="73491314"/>
    <w:rsid w:val="73A56DC9"/>
    <w:rsid w:val="751A5FDC"/>
    <w:rsid w:val="76F326F4"/>
    <w:rsid w:val="76FC082D"/>
    <w:rsid w:val="77746F27"/>
    <w:rsid w:val="781A3FF8"/>
    <w:rsid w:val="789D799C"/>
    <w:rsid w:val="78F71015"/>
    <w:rsid w:val="790E0070"/>
    <w:rsid w:val="7C7F57E2"/>
    <w:rsid w:val="7D0D567C"/>
    <w:rsid w:val="7EA31B82"/>
    <w:rsid w:val="7EF81D5D"/>
    <w:rsid w:val="7FAE4A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6" w:lineRule="auto"/>
      <w:outlineLvl w:val="3"/>
    </w:pPr>
    <w:rPr>
      <w:rFonts w:ascii="Cambria" w:hAnsi="Cambria" w:cs="Cambria"/>
      <w:b/>
      <w:bCs/>
      <w:sz w:val="28"/>
      <w:szCs w:val="28"/>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spacing w:after="0"/>
      <w:ind w:left="0" w:leftChars="0" w:firstLine="420" w:firstLineChars="200"/>
      <w:jc w:val="left"/>
    </w:pPr>
    <w:rPr>
      <w:rFonts w:ascii="Calibri" w:hAnsi="Calibri" w:eastAsia="宋体" w:cs="Times New Roman"/>
      <w:kern w:val="0"/>
      <w:sz w:val="20"/>
      <w:lang w:eastAsia="en-US"/>
    </w:rPr>
  </w:style>
  <w:style w:type="character" w:customStyle="1" w:styleId="9">
    <w:name w:val="页眉 Char"/>
    <w:basedOn w:val="8"/>
    <w:link w:val="5"/>
    <w:autoRedefine/>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customStyle="1" w:styleId="11">
    <w:name w:val="列出段落"/>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1140</Words>
  <Characters>1438</Characters>
  <Lines>67</Lines>
  <Paragraphs>19</Paragraphs>
  <TotalTime>0</TotalTime>
  <ScaleCrop>false</ScaleCrop>
  <LinksUpToDate>false</LinksUpToDate>
  <CharactersWithSpaces>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2020-03-18T01:54:00Z</dcterms:created>
  <dc:creator>lenovo</dc:creator>
  <cp:lastModifiedBy>秦时明</cp:lastModifiedBy>
  <cp:lastPrinted>2021-03-04T01:55:00Z</cp:lastPrinted>
  <dcterms:modified xsi:type="dcterms:W3CDTF">2026-07-15T10:09:26Z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215052366_btnclosed</vt:lpwstr>
  </property>
  <property fmtid="{D5CDD505-2E9C-101B-9397-08002B2CF9AE}" pid="4" name="ICV">
    <vt:lpwstr>6EE584B4817D4B4E974075C441A58DBA_13</vt:lpwstr>
  </property>
  <property fmtid="{D5CDD505-2E9C-101B-9397-08002B2CF9AE}" pid="5" name="KSOTemplateDocerSaveRecord">
    <vt:lpwstr>eyJoZGlkIjoiNzllZGVhMGJlNWNlNjQ1MjA5ODIxMWE4YjMxZTcyYmIiLCJ1c2VySWQiOiI0Mzc2MDQ4MTQifQ==</vt:lpwstr>
  </property>
</Properties>
</file>