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3F2" w:rsidRDefault="00313C68">
      <w:pPr>
        <w:ind w:firstLineChars="49" w:firstLine="176"/>
        <w:rPr>
          <w:rFonts w:eastAsia="仿宋_GB2312"/>
          <w:sz w:val="36"/>
          <w:szCs w:val="36"/>
        </w:rPr>
      </w:pPr>
      <w:r>
        <w:rPr>
          <w:rFonts w:eastAsia="仿宋_GB2312" w:hint="eastAsia"/>
          <w:kern w:val="0"/>
          <w:sz w:val="36"/>
          <w:szCs w:val="36"/>
        </w:rPr>
        <w:t>连市监办复</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86</w:t>
      </w:r>
      <w:r>
        <w:rPr>
          <w:rFonts w:eastAsia="仿宋_GB2312"/>
          <w:sz w:val="32"/>
          <w:szCs w:val="32"/>
        </w:rPr>
        <w:t>号</w:t>
      </w:r>
      <w:r>
        <w:rPr>
          <w:rFonts w:eastAsia="仿宋_GB2312"/>
          <w:sz w:val="32"/>
          <w:szCs w:val="32"/>
        </w:rPr>
        <w:t xml:space="preserve">               </w:t>
      </w:r>
      <w:r>
        <w:rPr>
          <w:rFonts w:eastAsia="仿宋_GB2312"/>
          <w:sz w:val="32"/>
          <w:szCs w:val="32"/>
        </w:rPr>
        <w:t>签发人：</w:t>
      </w:r>
      <w:r>
        <w:rPr>
          <w:rFonts w:eastAsia="仿宋_GB2312" w:hint="eastAsia"/>
          <w:sz w:val="32"/>
          <w:szCs w:val="32"/>
        </w:rPr>
        <w:t>马</w:t>
      </w:r>
      <w:r>
        <w:rPr>
          <w:rFonts w:eastAsia="仿宋_GB2312" w:hint="eastAsia"/>
          <w:sz w:val="32"/>
          <w:szCs w:val="32"/>
        </w:rPr>
        <w:t xml:space="preserve">  </w:t>
      </w:r>
      <w:r>
        <w:rPr>
          <w:rFonts w:eastAsia="仿宋_GB2312" w:hint="eastAsia"/>
          <w:sz w:val="32"/>
          <w:szCs w:val="32"/>
        </w:rPr>
        <w:t>盈</w:t>
      </w:r>
    </w:p>
    <w:p w:rsidR="001C13F2" w:rsidRDefault="001C13F2">
      <w:pPr>
        <w:jc w:val="center"/>
        <w:rPr>
          <w:rFonts w:eastAsia="方正小标宋简体"/>
          <w:sz w:val="44"/>
          <w:szCs w:val="44"/>
        </w:rPr>
      </w:pPr>
    </w:p>
    <w:p w:rsidR="001C13F2" w:rsidRDefault="00313C68">
      <w:pPr>
        <w:spacing w:line="560" w:lineRule="exact"/>
        <w:jc w:val="center"/>
        <w:rPr>
          <w:rFonts w:ascii="方正小标宋_GBK" w:eastAsia="方正小标宋_GBK"/>
          <w:color w:val="000000"/>
          <w:spacing w:val="20"/>
          <w:sz w:val="44"/>
          <w:szCs w:val="44"/>
        </w:rPr>
      </w:pPr>
      <w:r>
        <w:rPr>
          <w:rFonts w:ascii="方正小标宋_GBK" w:eastAsia="方正小标宋_GBK" w:hint="eastAsia"/>
          <w:color w:val="000000"/>
          <w:spacing w:val="20"/>
          <w:sz w:val="44"/>
          <w:szCs w:val="44"/>
        </w:rPr>
        <w:t>对市政协十四届四次会议</w:t>
      </w:r>
    </w:p>
    <w:p w:rsidR="001C13F2" w:rsidRDefault="00313C68">
      <w:pPr>
        <w:spacing w:line="56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第</w:t>
      </w:r>
      <w:r>
        <w:rPr>
          <w:rFonts w:ascii="Times New Roman" w:eastAsia="方正小标宋_GBK" w:hAnsi="Times New Roman" w:cs="Times New Roman" w:hint="eastAsia"/>
          <w:color w:val="000000"/>
          <w:sz w:val="44"/>
          <w:szCs w:val="44"/>
        </w:rPr>
        <w:t>44137</w:t>
      </w:r>
      <w:r>
        <w:rPr>
          <w:rFonts w:ascii="方正小标宋_GBK" w:eastAsia="方正小标宋_GBK" w:hint="eastAsia"/>
          <w:color w:val="000000"/>
          <w:sz w:val="44"/>
          <w:szCs w:val="44"/>
        </w:rPr>
        <w:t>号</w:t>
      </w:r>
      <w:r>
        <w:rPr>
          <w:rFonts w:ascii="方正小标宋_GBK" w:eastAsia="方正小标宋_GBK" w:hint="eastAsia"/>
          <w:color w:val="000000"/>
          <w:sz w:val="44"/>
          <w:szCs w:val="44"/>
        </w:rPr>
        <w:t>提案</w:t>
      </w:r>
      <w:r>
        <w:rPr>
          <w:rFonts w:ascii="方正小标宋_GBK" w:eastAsia="方正小标宋_GBK" w:hint="eastAsia"/>
          <w:color w:val="000000"/>
          <w:sz w:val="44"/>
          <w:szCs w:val="44"/>
        </w:rPr>
        <w:t>的</w:t>
      </w:r>
      <w:r>
        <w:rPr>
          <w:rFonts w:ascii="方正小标宋_GBK" w:eastAsia="方正小标宋_GBK" w:hint="eastAsia"/>
          <w:color w:val="000000"/>
          <w:sz w:val="44"/>
          <w:szCs w:val="44"/>
        </w:rPr>
        <w:t>答复</w:t>
      </w:r>
    </w:p>
    <w:p w:rsidR="001C13F2" w:rsidRDefault="001C13F2">
      <w:pPr>
        <w:spacing w:line="560" w:lineRule="exact"/>
        <w:rPr>
          <w:rFonts w:eastAsia="仿宋_GB2312"/>
          <w:sz w:val="32"/>
          <w:szCs w:val="32"/>
        </w:rPr>
      </w:pPr>
    </w:p>
    <w:p w:rsidR="001C13F2" w:rsidRDefault="00313C68">
      <w:pPr>
        <w:spacing w:line="540" w:lineRule="exact"/>
        <w:rPr>
          <w:rFonts w:ascii="仿宋_GB2312" w:eastAsia="仿宋_GB2312" w:hAnsi="仿宋_GB2312" w:cs="仿宋_GB2312"/>
          <w:sz w:val="32"/>
          <w:szCs w:val="32"/>
          <w:shd w:val="clear" w:color="auto" w:fill="FFFFFF"/>
        </w:rPr>
      </w:pPr>
      <w:r>
        <w:rPr>
          <w:rFonts w:eastAsia="仿宋_GB2312" w:hint="eastAsia"/>
          <w:sz w:val="32"/>
          <w:szCs w:val="32"/>
        </w:rPr>
        <w:t>王波委员</w:t>
      </w:r>
      <w:r>
        <w:rPr>
          <w:rFonts w:ascii="仿宋_GB2312" w:eastAsia="仿宋_GB2312" w:hAnsi="仿宋_GB2312" w:cs="仿宋_GB2312" w:hint="eastAsia"/>
          <w:sz w:val="32"/>
          <w:szCs w:val="32"/>
          <w:shd w:val="clear" w:color="auto" w:fill="FFFFFF"/>
        </w:rPr>
        <w:t>：</w:t>
      </w:r>
    </w:p>
    <w:p w:rsidR="001C13F2" w:rsidRDefault="00313C68">
      <w:pPr>
        <w:spacing w:line="540" w:lineRule="exact"/>
        <w:ind w:firstLineChars="200" w:firstLine="640"/>
        <w:jc w:val="lef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您</w:t>
      </w:r>
      <w:r>
        <w:rPr>
          <w:rFonts w:ascii="仿宋_GB2312" w:eastAsia="仿宋_GB2312" w:hAnsi="仿宋_GB2312" w:cs="仿宋_GB2312"/>
          <w:sz w:val="32"/>
          <w:szCs w:val="32"/>
          <w:shd w:val="clear" w:color="auto" w:fill="FFFFFF"/>
        </w:rPr>
        <w:t>提出的</w:t>
      </w:r>
      <w:r>
        <w:rPr>
          <w:rFonts w:ascii="仿宋_GB2312" w:eastAsia="仿宋_GB2312" w:hAnsi="仿宋_GB2312" w:cs="仿宋_GB2312" w:hint="eastAsia"/>
          <w:sz w:val="32"/>
          <w:szCs w:val="32"/>
          <w:shd w:val="clear" w:color="auto" w:fill="FFFFFF"/>
        </w:rPr>
        <w:t>《</w:t>
      </w:r>
      <w:r>
        <w:rPr>
          <w:rFonts w:eastAsia="仿宋_GB2312" w:hint="eastAsia"/>
          <w:sz w:val="32"/>
          <w:szCs w:val="32"/>
        </w:rPr>
        <w:t>关于加快知识产权强市建设的提案</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收悉</w:t>
      </w:r>
      <w:r>
        <w:rPr>
          <w:rFonts w:ascii="仿宋_GB2312" w:eastAsia="仿宋_GB2312" w:hAnsi="仿宋_GB2312" w:cs="仿宋_GB2312"/>
          <w:sz w:val="32"/>
          <w:szCs w:val="32"/>
          <w:shd w:val="clear" w:color="auto" w:fill="FFFFFF"/>
        </w:rPr>
        <w:t>，</w:t>
      </w:r>
      <w:r>
        <w:rPr>
          <w:rFonts w:ascii="仿宋_GB2312" w:eastAsia="仿宋_GB2312" w:hAnsi="仿宋_GB2312" w:cs="仿宋_GB2312" w:hint="eastAsia"/>
          <w:sz w:val="32"/>
          <w:szCs w:val="32"/>
          <w:shd w:val="clear" w:color="auto" w:fill="FFFFFF"/>
        </w:rPr>
        <w:t>现答复如下：</w:t>
      </w:r>
    </w:p>
    <w:p w:rsidR="001C13F2" w:rsidRDefault="00313C68">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w:t>
      </w:r>
      <w:r>
        <w:rPr>
          <w:rFonts w:ascii="仿宋_GB2312" w:eastAsia="仿宋_GB2312" w:hAnsi="仿宋_GB2312" w:cs="仿宋_GB2312" w:hint="eastAsia"/>
          <w:sz w:val="32"/>
          <w:szCs w:val="32"/>
        </w:rPr>
        <w:t>深入贯彻落实习近平总书记关于知识产权工作的重要指示和论述，</w:t>
      </w:r>
      <w:r>
        <w:rPr>
          <w:rFonts w:ascii="仿宋_GB2312" w:eastAsia="仿宋_GB2312" w:hAnsi="仿宋_GB2312" w:cs="仿宋_GB2312" w:hint="eastAsia"/>
          <w:sz w:val="32"/>
          <w:szCs w:val="32"/>
        </w:rPr>
        <w:t>紧紧围绕“四个走在前”“四个新”重大任务，</w:t>
      </w:r>
      <w:r>
        <w:rPr>
          <w:rFonts w:ascii="仿宋_GB2312" w:eastAsia="仿宋_GB2312" w:hAnsi="仿宋_GB2312" w:cs="仿宋_GB2312" w:hint="eastAsia"/>
          <w:sz w:val="32"/>
          <w:szCs w:val="32"/>
        </w:rPr>
        <w:t>我局</w:t>
      </w:r>
      <w:r>
        <w:rPr>
          <w:rFonts w:ascii="仿宋_GB2312" w:eastAsia="仿宋_GB2312" w:hAnsi="仿宋_GB2312" w:cs="仿宋_GB2312" w:hint="eastAsia"/>
          <w:sz w:val="32"/>
          <w:szCs w:val="32"/>
        </w:rPr>
        <w:t>深入实施知识产权强市战略。</w:t>
      </w:r>
      <w:r>
        <w:rPr>
          <w:rFonts w:ascii="Times New Roman" w:eastAsia="仿宋_GB2312" w:hAnsi="Times New Roman" w:cs="仿宋_GB2312" w:hint="eastAsia"/>
          <w:sz w:val="32"/>
          <w:szCs w:val="32"/>
        </w:rPr>
        <w:t>2024</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月我市成功获批国家知识产权强市试点城市，同年</w:t>
      </w:r>
      <w:r>
        <w:rPr>
          <w:rFonts w:ascii="Times New Roman" w:eastAsia="仿宋_GB2312" w:hAnsi="Times New Roman"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制定《连云港市国家知识产权强市试点城市工作方案（</w:t>
      </w:r>
      <w:r>
        <w:rPr>
          <w:rFonts w:ascii="Times New Roman" w:eastAsia="仿宋_GB2312" w:hAnsi="Times New Roman" w:cs="仿宋_GB2312" w:hint="eastAsia"/>
          <w:sz w:val="32"/>
          <w:szCs w:val="32"/>
        </w:rPr>
        <w:t>2024</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2026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明确涉及</w:t>
      </w:r>
      <w:r>
        <w:rPr>
          <w:rFonts w:ascii="仿宋_GB2312" w:eastAsia="仿宋_GB2312" w:hAnsi="仿宋_GB2312" w:cs="仿宋_GB2312" w:hint="eastAsia"/>
          <w:sz w:val="32"/>
          <w:szCs w:val="32"/>
        </w:rPr>
        <w:t>知识产权创造质量、运用能力、保护环境、管理能力和服务品质五个方面</w:t>
      </w:r>
      <w:r>
        <w:rPr>
          <w:rFonts w:ascii="Times New Roman" w:eastAsia="仿宋_GB2312" w:hAnsi="Times New Roman" w:cs="仿宋_GB2312" w:hint="eastAsia"/>
          <w:sz w:val="32"/>
          <w:szCs w:val="32"/>
        </w:rPr>
        <w:t>16</w:t>
      </w:r>
      <w:r>
        <w:rPr>
          <w:rFonts w:ascii="仿宋_GB2312" w:eastAsia="仿宋_GB2312" w:hAnsi="仿宋_GB2312" w:cs="仿宋_GB2312" w:hint="eastAsia"/>
          <w:sz w:val="32"/>
          <w:szCs w:val="32"/>
        </w:rPr>
        <w:t>项数据指标，规划了</w:t>
      </w:r>
      <w:r>
        <w:rPr>
          <w:rFonts w:ascii="Times New Roman" w:eastAsia="仿宋_GB2312" w:hAnsi="Times New Roman" w:cs="仿宋_GB2312" w:hint="eastAsia"/>
          <w:sz w:val="32"/>
          <w:szCs w:val="32"/>
        </w:rPr>
        <w:t>19</w:t>
      </w:r>
      <w:r>
        <w:rPr>
          <w:rFonts w:ascii="仿宋_GB2312" w:eastAsia="仿宋_GB2312" w:hAnsi="仿宋_GB2312" w:cs="仿宋_GB2312" w:hint="eastAsia"/>
          <w:sz w:val="32"/>
          <w:szCs w:val="32"/>
        </w:rPr>
        <w:t>项重点任务。</w:t>
      </w:r>
      <w:r>
        <w:rPr>
          <w:rFonts w:ascii="Times New Roman" w:eastAsia="仿宋_GB2312" w:hAnsi="Times New Roman" w:cs="仿宋_GB2312" w:hint="eastAsia"/>
          <w:sz w:val="32"/>
          <w:szCs w:val="32"/>
        </w:rPr>
        <w:t>11</w:t>
      </w:r>
      <w:r>
        <w:rPr>
          <w:rFonts w:ascii="仿宋_GB2312" w:eastAsia="仿宋_GB2312" w:hAnsi="仿宋_GB2312" w:cs="仿宋_GB2312" w:hint="eastAsia"/>
          <w:sz w:val="32"/>
          <w:szCs w:val="32"/>
        </w:rPr>
        <w:t>月，邀请省知识产权局李杰局长来连指导强市建设工作，并召开全市建设推进大会。今年</w:t>
      </w:r>
      <w:r>
        <w:rPr>
          <w:rFonts w:ascii="Times New Roman" w:eastAsia="仿宋_GB2312" w:hAnsi="Times New Roman" w:cs="仿宋_GB2312" w:hint="eastAsia"/>
          <w:sz w:val="32"/>
          <w:szCs w:val="32"/>
        </w:rPr>
        <w:t>4</w:t>
      </w:r>
      <w:r>
        <w:rPr>
          <w:rFonts w:ascii="仿宋_GB2312" w:eastAsia="仿宋_GB2312" w:hAnsi="仿宋_GB2312" w:cs="仿宋_GB2312" w:hint="eastAsia"/>
          <w:sz w:val="32"/>
          <w:szCs w:val="32"/>
        </w:rPr>
        <w:t>月，为进一步推动知识产权强市建设进度，配套出台了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关于高标准推进知识产权强市建设若干政策措施</w:t>
      </w:r>
      <w:r>
        <w:rPr>
          <w:rFonts w:ascii="仿宋_GB2312" w:eastAsia="仿宋_GB2312" w:hAnsi="仿宋_GB2312" w:cs="仿宋_GB2312" w:hint="eastAsia"/>
          <w:sz w:val="32"/>
          <w:szCs w:val="32"/>
        </w:rPr>
        <w:t>》，重点突出知识产权专项资金的奖励引导和建设资助功能。</w:t>
      </w:r>
    </w:p>
    <w:p w:rsidR="001C13F2" w:rsidRDefault="00313C68">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局在收到“关于加快知识产权强市建设”的提案后，对委员提出的关于我市在知识产权强市建设中的存在的问题和意见建议进行了充分的研究，并与协办单位进行沟通，梳理问题和建议内容，进行了分工定责，同时依照试点建设工作方案，有序推</w:t>
      </w:r>
      <w:r>
        <w:rPr>
          <w:rFonts w:ascii="仿宋_GB2312" w:eastAsia="仿宋_GB2312" w:hAnsi="仿宋_GB2312" w:cs="仿宋_GB2312" w:hint="eastAsia"/>
          <w:sz w:val="32"/>
          <w:szCs w:val="32"/>
        </w:rPr>
        <w:lastRenderedPageBreak/>
        <w:t>进建设工作。现将提案办理情况汇报如下：</w:t>
      </w:r>
    </w:p>
    <w:p w:rsidR="001C13F2" w:rsidRDefault="00313C68">
      <w:pPr>
        <w:spacing w:line="540" w:lineRule="exact"/>
        <w:ind w:firstLineChars="200" w:firstLine="640"/>
        <w:rPr>
          <w:rFonts w:ascii="黑体" w:eastAsia="黑体" w:hAnsi="黑体" w:cs="黑体"/>
          <w:sz w:val="32"/>
          <w:szCs w:val="32"/>
        </w:rPr>
      </w:pPr>
      <w:r>
        <w:rPr>
          <w:rFonts w:ascii="黑体" w:eastAsia="黑体" w:hAnsi="黑体" w:cs="黑体" w:hint="eastAsia"/>
          <w:sz w:val="32"/>
          <w:szCs w:val="32"/>
        </w:rPr>
        <w:t>一、知识产权强市建设工作情况</w:t>
      </w:r>
    </w:p>
    <w:p w:rsidR="001C13F2" w:rsidRDefault="00313C68">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（一）聚力高质量发展，全面落实知识产权强市战略</w:t>
      </w:r>
      <w:r>
        <w:rPr>
          <w:rFonts w:ascii="楷体_GB2312" w:eastAsia="楷体_GB2312" w:hAnsi="楷体_GB2312" w:cs="楷体_GB2312" w:hint="eastAsia"/>
          <w:sz w:val="32"/>
          <w:szCs w:val="32"/>
        </w:rPr>
        <w:t xml:space="preserve"> </w:t>
      </w:r>
    </w:p>
    <w:p w:rsidR="001C13F2" w:rsidRDefault="00313C68" w:rsidP="003260FA">
      <w:pPr>
        <w:spacing w:line="540" w:lineRule="exact"/>
        <w:ind w:firstLineChars="200" w:firstLine="643"/>
        <w:rPr>
          <w:rFonts w:ascii="仿宋_GB2312" w:eastAsia="仿宋_GB2312" w:hAnsi="仿宋_GB2312" w:cs="仿宋_GB2312"/>
          <w:sz w:val="32"/>
          <w:szCs w:val="32"/>
          <w:lang w:val="zh-TW" w:eastAsia="zh-TW"/>
        </w:rPr>
      </w:pPr>
      <w:r>
        <w:rPr>
          <w:rFonts w:ascii="仿宋_GB2312" w:eastAsia="仿宋_GB2312" w:hAnsi="仿宋_GB2312" w:cs="仿宋_GB2312" w:hint="eastAsia"/>
          <w:b/>
          <w:bCs/>
          <w:sz w:val="32"/>
          <w:szCs w:val="32"/>
        </w:rPr>
        <w:t>一是知识产权主要指标快速增长。</w:t>
      </w: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5</w:t>
      </w:r>
      <w:r>
        <w:rPr>
          <w:rFonts w:ascii="仿宋_GB2312" w:eastAsia="仿宋_GB2312" w:hAnsi="仿宋_GB2312" w:cs="仿宋_GB2312" w:hint="eastAsia"/>
          <w:sz w:val="32"/>
          <w:szCs w:val="32"/>
        </w:rPr>
        <w:t>月，新增专利授权</w:t>
      </w:r>
      <w:r>
        <w:rPr>
          <w:rFonts w:ascii="Times New Roman" w:eastAsia="仿宋_GB2312" w:hAnsi="Times New Roman" w:cs="仿宋_GB2312" w:hint="eastAsia"/>
          <w:sz w:val="32"/>
          <w:szCs w:val="32"/>
        </w:rPr>
        <w:t>1878</w:t>
      </w:r>
      <w:r>
        <w:rPr>
          <w:rFonts w:ascii="仿宋_GB2312" w:eastAsia="仿宋_GB2312" w:hAnsi="仿宋_GB2312" w:cs="仿宋_GB2312" w:hint="eastAsia"/>
          <w:sz w:val="32"/>
          <w:szCs w:val="32"/>
        </w:rPr>
        <w:t>件，发明专利授权量</w:t>
      </w:r>
      <w:r>
        <w:rPr>
          <w:rFonts w:ascii="Times New Roman" w:eastAsia="仿宋_GB2312" w:hAnsi="Times New Roman" w:cs="仿宋_GB2312" w:hint="eastAsia"/>
          <w:sz w:val="32"/>
          <w:szCs w:val="32"/>
        </w:rPr>
        <w:t>697</w:t>
      </w:r>
      <w:r>
        <w:rPr>
          <w:rFonts w:ascii="仿宋_GB2312" w:eastAsia="仿宋_GB2312" w:hAnsi="仿宋_GB2312" w:cs="仿宋_GB2312" w:hint="eastAsia"/>
          <w:sz w:val="32"/>
          <w:szCs w:val="32"/>
        </w:rPr>
        <w:t>件。全市有效发明专利突破一万件，达</w:t>
      </w:r>
      <w:r>
        <w:rPr>
          <w:rFonts w:ascii="Times New Roman" w:eastAsia="仿宋_GB2312" w:hAnsi="Times New Roman" w:cs="仿宋_GB2312" w:hint="eastAsia"/>
          <w:sz w:val="32"/>
          <w:szCs w:val="32"/>
        </w:rPr>
        <w:t>10374</w:t>
      </w:r>
      <w:r>
        <w:rPr>
          <w:rFonts w:ascii="仿宋_GB2312" w:eastAsia="仿宋_GB2312" w:hAnsi="仿宋_GB2312" w:cs="仿宋_GB2312" w:hint="eastAsia"/>
          <w:sz w:val="32"/>
          <w:szCs w:val="32"/>
        </w:rPr>
        <w:t>件，比去年底增长</w:t>
      </w:r>
      <w:r>
        <w:rPr>
          <w:rFonts w:ascii="仿宋_GB2312" w:eastAsia="仿宋_GB2312" w:hAnsi="仿宋_GB2312" w:cs="仿宋_GB2312" w:hint="eastAsia"/>
          <w:sz w:val="32"/>
          <w:szCs w:val="32"/>
        </w:rPr>
        <w:t xml:space="preserve"> </w:t>
      </w:r>
      <w:r>
        <w:rPr>
          <w:rFonts w:ascii="Times New Roman" w:eastAsia="仿宋_GB2312" w:hAnsi="Times New Roman" w:cs="仿宋_GB2312" w:hint="eastAsia"/>
          <w:sz w:val="32"/>
          <w:szCs w:val="32"/>
        </w:rPr>
        <w:t>609</w:t>
      </w:r>
      <w:r>
        <w:rPr>
          <w:rFonts w:ascii="仿宋_GB2312" w:eastAsia="仿宋_GB2312" w:hAnsi="仿宋_GB2312" w:cs="仿宋_GB2312" w:hint="eastAsia"/>
          <w:sz w:val="32"/>
          <w:szCs w:val="32"/>
        </w:rPr>
        <w:t>件，增幅</w:t>
      </w:r>
      <w:r>
        <w:rPr>
          <w:rFonts w:ascii="Times New Roman" w:eastAsia="仿宋_GB2312" w:hAnsi="Times New Roman" w:cs="仿宋_GB2312" w:hint="eastAsia"/>
          <w:sz w:val="32"/>
          <w:szCs w:val="32"/>
        </w:rPr>
        <w:t>6</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。万人发明专利拥有量</w:t>
      </w:r>
      <w:r>
        <w:rPr>
          <w:rFonts w:ascii="Times New Roman" w:eastAsia="仿宋_GB2312" w:hAnsi="Times New Roman" w:cs="仿宋_GB2312" w:hint="eastAsia"/>
          <w:sz w:val="32"/>
          <w:szCs w:val="32"/>
        </w:rPr>
        <w:t>22</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58</w:t>
      </w:r>
      <w:r>
        <w:rPr>
          <w:rFonts w:ascii="仿宋_GB2312" w:eastAsia="仿宋_GB2312" w:hAnsi="仿宋_GB2312" w:cs="仿宋_GB2312" w:hint="eastAsia"/>
          <w:sz w:val="32"/>
          <w:szCs w:val="32"/>
        </w:rPr>
        <w:t>件，高价值发明专利</w:t>
      </w:r>
      <w:r>
        <w:rPr>
          <w:rFonts w:ascii="Times New Roman" w:eastAsia="仿宋_GB2312" w:hAnsi="Times New Roman" w:cs="仿宋_GB2312" w:hint="eastAsia"/>
          <w:sz w:val="32"/>
          <w:szCs w:val="32"/>
        </w:rPr>
        <w:t>3836</w:t>
      </w:r>
      <w:r>
        <w:rPr>
          <w:rFonts w:ascii="仿宋_GB2312" w:eastAsia="仿宋_GB2312" w:hAnsi="仿宋_GB2312" w:cs="仿宋_GB2312" w:hint="eastAsia"/>
          <w:sz w:val="32"/>
          <w:szCs w:val="32"/>
        </w:rPr>
        <w:t>件，占比</w:t>
      </w:r>
      <w:r>
        <w:rPr>
          <w:rFonts w:ascii="Times New Roman" w:eastAsia="仿宋_GB2312" w:hAnsi="Times New Roman" w:cs="仿宋_GB2312" w:hint="eastAsia"/>
          <w:sz w:val="32"/>
          <w:szCs w:val="32"/>
        </w:rPr>
        <w:t>39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，居全省第四。在全省率先出台《数据知识产权保护指南</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第</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部分：企业数据》连云港地方标准，获批登记的数据知识产权达到</w:t>
      </w:r>
      <w:r>
        <w:rPr>
          <w:rFonts w:ascii="Times New Roman" w:eastAsia="仿宋_GB2312" w:hAnsi="Times New Roman" w:cs="仿宋_GB2312" w:hint="eastAsia"/>
          <w:sz w:val="32"/>
          <w:szCs w:val="32"/>
        </w:rPr>
        <w:t>102</w:t>
      </w:r>
      <w:r>
        <w:rPr>
          <w:rFonts w:ascii="仿宋_GB2312" w:eastAsia="仿宋_GB2312" w:hAnsi="仿宋_GB2312" w:cs="仿宋_GB2312" w:hint="eastAsia"/>
          <w:sz w:val="32"/>
          <w:szCs w:val="32"/>
        </w:rPr>
        <w:t>件，突破百件大关，居全省第三。</w:t>
      </w:r>
      <w:r>
        <w:rPr>
          <w:rFonts w:ascii="仿宋_GB2312" w:eastAsia="仿宋_GB2312" w:hAnsi="仿宋_GB2312" w:cs="仿宋_GB2312" w:hint="eastAsia"/>
          <w:b/>
          <w:bCs/>
          <w:sz w:val="32"/>
          <w:szCs w:val="32"/>
        </w:rPr>
        <w:t>二是</w:t>
      </w:r>
      <w:r>
        <w:rPr>
          <w:rFonts w:ascii="仿宋_GB2312" w:eastAsia="仿宋_GB2312" w:hAnsi="仿宋_GB2312" w:cs="仿宋_GB2312" w:hint="eastAsia"/>
          <w:b/>
          <w:bCs/>
          <w:sz w:val="32"/>
          <w:szCs w:val="32"/>
        </w:rPr>
        <w:t>知识产权发展</w:t>
      </w:r>
      <w:r>
        <w:rPr>
          <w:rFonts w:ascii="仿宋_GB2312" w:eastAsia="仿宋_GB2312" w:hAnsi="仿宋_GB2312" w:cs="仿宋_GB2312" w:hint="eastAsia"/>
          <w:b/>
          <w:bCs/>
          <w:sz w:val="32"/>
          <w:szCs w:val="32"/>
        </w:rPr>
        <w:t>成果突出</w:t>
      </w:r>
      <w:r>
        <w:rPr>
          <w:rFonts w:ascii="仿宋_GB2312" w:eastAsia="仿宋_GB2312" w:hAnsi="仿宋_GB2312" w:cs="仿宋_GB2312" w:hint="eastAsia"/>
          <w:b/>
          <w:bCs/>
          <w:sz w:val="32"/>
          <w:szCs w:val="32"/>
        </w:rPr>
        <w:t>。</w:t>
      </w:r>
      <w:r>
        <w:rPr>
          <w:rFonts w:ascii="Times New Roman" w:eastAsia="仿宋_GB2312" w:hAnsi="Times New Roman" w:cs="仿宋_GB2312" w:hint="eastAsia"/>
          <w:sz w:val="32"/>
          <w:szCs w:val="32"/>
        </w:rPr>
        <w:t>27</w:t>
      </w:r>
      <w:r>
        <w:rPr>
          <w:rFonts w:ascii="仿宋_GB2312" w:eastAsia="仿宋_GB2312" w:hAnsi="仿宋_GB2312" w:cs="仿宋_GB2312" w:hint="eastAsia"/>
          <w:sz w:val="32"/>
          <w:szCs w:val="32"/>
        </w:rPr>
        <w:t>家企业获评国家知识产权示范优势企业；累计荣获中国专利金奖</w:t>
      </w:r>
      <w:r>
        <w:rPr>
          <w:rFonts w:ascii="Times New Roman" w:eastAsia="仿宋_GB2312" w:hAnsi="Times New Roman" w:cs="仿宋_GB2312" w:hint="eastAsia"/>
          <w:sz w:val="32"/>
          <w:szCs w:val="32"/>
        </w:rPr>
        <w:t>8</w:t>
      </w:r>
      <w:r>
        <w:rPr>
          <w:rFonts w:ascii="仿宋_GB2312" w:eastAsia="仿宋_GB2312" w:hAnsi="仿宋_GB2312" w:cs="仿宋_GB2312" w:hint="eastAsia"/>
          <w:sz w:val="32"/>
          <w:szCs w:val="32"/>
        </w:rPr>
        <w:t>项，银奖</w:t>
      </w:r>
      <w:r>
        <w:rPr>
          <w:rFonts w:ascii="Times New Roman" w:eastAsia="仿宋_GB2312" w:hAnsi="Times New Roman" w:cs="仿宋_GB2312" w:hint="eastAsia"/>
          <w:sz w:val="32"/>
          <w:szCs w:val="32"/>
        </w:rPr>
        <w:t>4</w:t>
      </w:r>
      <w:r>
        <w:rPr>
          <w:rFonts w:ascii="仿宋_GB2312" w:eastAsia="仿宋_GB2312" w:hAnsi="仿宋_GB2312" w:cs="仿宋_GB2312" w:hint="eastAsia"/>
          <w:sz w:val="32"/>
          <w:szCs w:val="32"/>
        </w:rPr>
        <w:t>项，优秀奖</w:t>
      </w:r>
      <w:r>
        <w:rPr>
          <w:rFonts w:ascii="Times New Roman" w:eastAsia="仿宋_GB2312" w:hAnsi="Times New Roman" w:cs="仿宋_GB2312" w:hint="eastAsia"/>
          <w:sz w:val="32"/>
          <w:szCs w:val="32"/>
        </w:rPr>
        <w:t>30</w:t>
      </w:r>
      <w:r>
        <w:rPr>
          <w:rFonts w:ascii="仿宋_GB2312" w:eastAsia="仿宋_GB2312" w:hAnsi="仿宋_GB2312" w:cs="仿宋_GB2312" w:hint="eastAsia"/>
          <w:sz w:val="32"/>
          <w:szCs w:val="32"/>
        </w:rPr>
        <w:t>项，江苏省专利金奖</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项、银奖</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项、发明人奖</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项。恒瑞医药等</w:t>
      </w:r>
      <w:r>
        <w:rPr>
          <w:rFonts w:ascii="Times New Roman" w:eastAsia="仿宋_GB2312" w:hAnsi="Times New Roman" w:cs="仿宋_GB2312" w:hint="eastAsia"/>
          <w:sz w:val="32"/>
          <w:szCs w:val="32"/>
        </w:rPr>
        <w:t>8</w:t>
      </w:r>
      <w:r>
        <w:rPr>
          <w:rFonts w:ascii="仿宋_GB2312" w:eastAsia="仿宋_GB2312" w:hAnsi="仿宋_GB2312" w:cs="仿宋_GB2312" w:hint="eastAsia"/>
          <w:sz w:val="32"/>
          <w:szCs w:val="32"/>
        </w:rPr>
        <w:t>家单位成立省高价值专利培育示范中心，“赣榆梭子蟹”“东海水晶”两项地理标志承担省商标品牌培育保护项目。全市拥有</w:t>
      </w:r>
      <w:r>
        <w:rPr>
          <w:rFonts w:ascii="Times New Roman" w:eastAsia="仿宋_GB2312" w:hAnsi="Times New Roman" w:cs="仿宋_GB2312" w:hint="eastAsia"/>
          <w:sz w:val="32"/>
          <w:szCs w:val="32"/>
        </w:rPr>
        <w:t>16</w:t>
      </w:r>
      <w:r>
        <w:rPr>
          <w:rFonts w:ascii="仿宋_GB2312" w:eastAsia="仿宋_GB2312" w:hAnsi="仿宋_GB2312" w:cs="仿宋_GB2312" w:hint="eastAsia"/>
          <w:sz w:val="32"/>
          <w:szCs w:val="32"/>
        </w:rPr>
        <w:t>件</w:t>
      </w:r>
      <w:r>
        <w:rPr>
          <w:rFonts w:ascii="仿宋_GB2312" w:eastAsia="仿宋_GB2312" w:hAnsi="仿宋_GB2312" w:cs="仿宋_GB2312" w:hint="eastAsia"/>
          <w:sz w:val="32"/>
          <w:szCs w:val="32"/>
        </w:rPr>
        <w:t>驰名商标，地理标志产品和商标共</w:t>
      </w:r>
      <w:r>
        <w:rPr>
          <w:rFonts w:ascii="Times New Roman" w:eastAsia="仿宋_GB2312" w:hAnsi="Times New Roman" w:cs="仿宋_GB2312" w:hint="eastAsia"/>
          <w:sz w:val="32"/>
          <w:szCs w:val="32"/>
        </w:rPr>
        <w:t>24</w:t>
      </w:r>
      <w:r>
        <w:rPr>
          <w:rFonts w:ascii="仿宋_GB2312" w:eastAsia="仿宋_GB2312" w:hAnsi="仿宋_GB2312" w:cs="仿宋_GB2312" w:hint="eastAsia"/>
          <w:sz w:val="32"/>
          <w:szCs w:val="32"/>
        </w:rPr>
        <w:t>项，在中国质量（成都）大会上，“东海水晶”被国家知识产权局推荐参加地理标志产品专题展示，地理标志商标影响力和美誉度持续扩大。</w:t>
      </w:r>
      <w:r>
        <w:rPr>
          <w:rFonts w:ascii="仿宋_GB2312" w:eastAsia="仿宋_GB2312" w:hAnsi="仿宋_GB2312" w:cs="仿宋_GB2312" w:hint="eastAsia"/>
          <w:b/>
          <w:bCs/>
          <w:sz w:val="32"/>
          <w:szCs w:val="32"/>
        </w:rPr>
        <w:t>三</w:t>
      </w:r>
      <w:r>
        <w:rPr>
          <w:rFonts w:ascii="仿宋_GB2312" w:eastAsia="仿宋_GB2312" w:hAnsi="仿宋_GB2312" w:cs="仿宋_GB2312" w:hint="eastAsia"/>
          <w:b/>
          <w:bCs/>
          <w:sz w:val="32"/>
          <w:szCs w:val="32"/>
        </w:rPr>
        <w:t>是</w:t>
      </w:r>
      <w:r>
        <w:rPr>
          <w:rFonts w:ascii="仿宋_GB2312" w:eastAsia="仿宋_GB2312" w:hAnsi="仿宋_GB2312" w:cs="仿宋_GB2312" w:hint="eastAsia"/>
          <w:b/>
          <w:bCs/>
          <w:sz w:val="32"/>
          <w:szCs w:val="32"/>
        </w:rPr>
        <w:t>知识产权创造基础持续增强</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lang w:val="zh-TW" w:eastAsia="zh-TW"/>
        </w:rPr>
        <w:t>引导企业实施知识产权合规管理体系</w:t>
      </w:r>
      <w:r>
        <w:rPr>
          <w:rFonts w:ascii="仿宋_GB2312" w:eastAsia="仿宋_GB2312" w:hAnsi="仿宋_GB2312" w:cs="仿宋_GB2312" w:hint="eastAsia"/>
          <w:sz w:val="32"/>
          <w:szCs w:val="32"/>
        </w:rPr>
        <w:t>贯标</w:t>
      </w:r>
      <w:r>
        <w:rPr>
          <w:rFonts w:ascii="仿宋_GB2312" w:eastAsia="仿宋_GB2312" w:hAnsi="仿宋_GB2312" w:cs="仿宋_GB2312" w:hint="eastAsia"/>
          <w:sz w:val="32"/>
          <w:szCs w:val="32"/>
          <w:lang w:val="zh-TW" w:eastAsia="zh-TW"/>
        </w:rPr>
        <w:t>，</w:t>
      </w:r>
      <w:r>
        <w:rPr>
          <w:rFonts w:ascii="Times New Roman" w:eastAsia="仿宋_GB2312" w:hAnsi="Times New Roman" w:cs="仿宋_GB2312" w:hint="eastAsia"/>
          <w:sz w:val="32"/>
          <w:szCs w:val="32"/>
        </w:rPr>
        <w:t>1200</w:t>
      </w:r>
      <w:r>
        <w:rPr>
          <w:rFonts w:ascii="仿宋_GB2312" w:eastAsia="仿宋_GB2312" w:hAnsi="仿宋_GB2312" w:cs="仿宋_GB2312" w:hint="eastAsia"/>
          <w:sz w:val="32"/>
          <w:szCs w:val="32"/>
          <w:lang w:val="zh-TW" w:eastAsia="zh-TW"/>
        </w:rPr>
        <w:t>家</w:t>
      </w:r>
      <w:r>
        <w:rPr>
          <w:rFonts w:ascii="仿宋_GB2312" w:eastAsia="仿宋_GB2312" w:hAnsi="仿宋_GB2312" w:cs="仿宋_GB2312" w:hint="eastAsia"/>
          <w:sz w:val="32"/>
          <w:szCs w:val="32"/>
          <w:lang w:val="zh-TW"/>
        </w:rPr>
        <w:t>企业</w:t>
      </w:r>
      <w:r>
        <w:rPr>
          <w:rFonts w:ascii="仿宋_GB2312" w:eastAsia="仿宋_GB2312" w:hAnsi="仿宋_GB2312" w:cs="仿宋_GB2312" w:hint="eastAsia"/>
          <w:sz w:val="32"/>
          <w:szCs w:val="32"/>
        </w:rPr>
        <w:t>开展</w:t>
      </w:r>
      <w:r>
        <w:rPr>
          <w:rFonts w:ascii="仿宋_GB2312" w:eastAsia="仿宋_GB2312" w:hAnsi="仿宋_GB2312" w:cs="仿宋_GB2312" w:hint="eastAsia"/>
          <w:sz w:val="32"/>
          <w:szCs w:val="32"/>
          <w:lang w:val="zh-TW" w:eastAsia="zh-TW"/>
        </w:rPr>
        <w:t>知识产权贯标备案，</w:t>
      </w:r>
      <w:r>
        <w:rPr>
          <w:rFonts w:ascii="Times New Roman" w:eastAsia="仿宋_GB2312" w:hAnsi="Times New Roman" w:cs="仿宋_GB2312" w:hint="eastAsia"/>
          <w:sz w:val="32"/>
          <w:szCs w:val="32"/>
        </w:rPr>
        <w:t>210</w:t>
      </w:r>
      <w:r>
        <w:rPr>
          <w:rFonts w:ascii="仿宋_GB2312" w:eastAsia="仿宋_GB2312" w:hAnsi="仿宋_GB2312" w:cs="仿宋_GB2312" w:hint="eastAsia"/>
          <w:sz w:val="32"/>
          <w:szCs w:val="32"/>
        </w:rPr>
        <w:t>家通过知识产权贯标第三方认证及绩效评价合格</w:t>
      </w:r>
      <w:r>
        <w:rPr>
          <w:rFonts w:ascii="仿宋_GB2312" w:eastAsia="仿宋_GB2312" w:hAnsi="仿宋_GB2312" w:cs="仿宋_GB2312" w:hint="eastAsia"/>
          <w:sz w:val="32"/>
          <w:szCs w:val="32"/>
          <w:lang w:val="zh-TW" w:eastAsia="zh-TW"/>
        </w:rPr>
        <w:t>。</w:t>
      </w:r>
      <w:r>
        <w:rPr>
          <w:rFonts w:ascii="仿宋_GB2312" w:eastAsia="仿宋_GB2312" w:hAnsi="仿宋_GB2312" w:cs="仿宋_GB2312" w:hint="eastAsia"/>
          <w:sz w:val="32"/>
          <w:szCs w:val="32"/>
        </w:rPr>
        <w:t>东海县、赣榆区、海州区获批国家知识产权强县建设试点县，开发区获批国家知识产权强国建设试点园区</w:t>
      </w:r>
      <w:r>
        <w:rPr>
          <w:rFonts w:ascii="仿宋_GB2312" w:eastAsia="仿宋_GB2312" w:hAnsi="仿宋_GB2312" w:cs="仿宋_GB2312" w:hint="eastAsia"/>
          <w:sz w:val="32"/>
          <w:szCs w:val="32"/>
        </w:rPr>
        <w:t>。东海水晶城、</w:t>
      </w:r>
      <w:r>
        <w:rPr>
          <w:rFonts w:ascii="仿宋_GB2312" w:eastAsia="仿宋_GB2312" w:hAnsi="仿宋_GB2312" w:cs="仿宋_GB2312" w:hint="eastAsia"/>
          <w:sz w:val="32"/>
          <w:szCs w:val="32"/>
          <w:lang w:val="zh-TW" w:eastAsia="zh-TW"/>
        </w:rPr>
        <w:t>海州陇海步行街通过国家级知识产权保护规范化市场延续审查</w:t>
      </w:r>
      <w:r>
        <w:rPr>
          <w:rFonts w:ascii="仿宋_GB2312" w:eastAsia="仿宋_GB2312" w:hAnsi="仿宋_GB2312" w:cs="仿宋_GB2312" w:hint="eastAsia"/>
          <w:sz w:val="32"/>
          <w:szCs w:val="32"/>
          <w:lang w:val="zh-TW"/>
        </w:rPr>
        <w:t>，</w:t>
      </w:r>
      <w:r>
        <w:rPr>
          <w:rFonts w:ascii="仿宋_GB2312" w:eastAsia="仿宋_GB2312" w:hAnsi="仿宋_GB2312" w:cs="仿宋_GB2312" w:hint="eastAsia"/>
          <w:sz w:val="32"/>
          <w:szCs w:val="32"/>
          <w:lang w:val="zh-TW" w:eastAsia="zh-TW"/>
        </w:rPr>
        <w:t>赣榆区吾悦广场获评</w:t>
      </w:r>
      <w:r>
        <w:rPr>
          <w:rFonts w:ascii="Times New Roman" w:eastAsia="仿宋_GB2312" w:hAnsi="Times New Roman" w:cs="仿宋_GB2312" w:hint="eastAsia"/>
          <w:sz w:val="32"/>
          <w:szCs w:val="32"/>
          <w:lang w:val="zh-TW" w:eastAsia="zh-TW"/>
        </w:rPr>
        <w:t>2023</w:t>
      </w:r>
      <w:r>
        <w:rPr>
          <w:rFonts w:ascii="仿宋_GB2312" w:eastAsia="仿宋_GB2312" w:hAnsi="仿宋_GB2312" w:cs="仿宋_GB2312" w:hint="eastAsia"/>
          <w:sz w:val="32"/>
          <w:szCs w:val="32"/>
          <w:lang w:val="zh-TW" w:eastAsia="zh-TW"/>
        </w:rPr>
        <w:t>年度省“正版正货”示范街区。</w:t>
      </w:r>
      <w:r>
        <w:rPr>
          <w:rFonts w:ascii="仿宋_GB2312" w:eastAsia="仿宋_GB2312" w:hAnsi="仿宋_GB2312" w:cs="仿宋_GB2312" w:hint="eastAsia"/>
          <w:sz w:val="32"/>
          <w:szCs w:val="32"/>
          <w:lang w:val="zh-TW" w:eastAsia="zh-TW"/>
        </w:rPr>
        <w:lastRenderedPageBreak/>
        <w:t>坚持分类指导、全面挖掘、梯次配置等方法，高新技术企业通过率全省第一</w:t>
      </w:r>
      <w:r>
        <w:rPr>
          <w:rFonts w:ascii="仿宋_GB2312" w:eastAsia="仿宋_GB2312" w:hAnsi="仿宋_GB2312" w:cs="仿宋_GB2312" w:hint="eastAsia"/>
          <w:sz w:val="32"/>
          <w:szCs w:val="32"/>
          <w:lang w:val="zh-TW"/>
        </w:rPr>
        <w:t>。</w:t>
      </w:r>
      <w:r>
        <w:rPr>
          <w:rFonts w:ascii="仿宋_GB2312" w:eastAsia="仿宋_GB2312" w:hAnsi="仿宋_GB2312" w:cs="仿宋_GB2312" w:hint="eastAsia"/>
          <w:sz w:val="32"/>
          <w:szCs w:val="32"/>
          <w:lang w:val="zh-TW" w:eastAsia="zh-TW"/>
        </w:rPr>
        <w:t>获批科技型中小企业</w:t>
      </w:r>
      <w:r>
        <w:rPr>
          <w:rFonts w:ascii="Times New Roman" w:eastAsia="仿宋_GB2312" w:hAnsi="Times New Roman" w:cs="仿宋_GB2312" w:hint="eastAsia"/>
          <w:sz w:val="32"/>
          <w:szCs w:val="32"/>
          <w:lang w:val="zh-TW" w:eastAsia="zh-TW"/>
        </w:rPr>
        <w:t>2277</w:t>
      </w:r>
      <w:r>
        <w:rPr>
          <w:rFonts w:ascii="仿宋_GB2312" w:eastAsia="仿宋_GB2312" w:hAnsi="仿宋_GB2312" w:cs="仿宋_GB2312" w:hint="eastAsia"/>
          <w:sz w:val="32"/>
          <w:szCs w:val="32"/>
          <w:lang w:val="zh-TW" w:eastAsia="zh-TW"/>
        </w:rPr>
        <w:t>家</w:t>
      </w:r>
      <w:r>
        <w:rPr>
          <w:rFonts w:ascii="仿宋_GB2312" w:eastAsia="仿宋_GB2312" w:hAnsi="仿宋_GB2312" w:cs="仿宋_GB2312" w:hint="eastAsia"/>
          <w:sz w:val="32"/>
          <w:szCs w:val="32"/>
          <w:lang w:val="zh-TW"/>
        </w:rPr>
        <w:t>，</w:t>
      </w:r>
      <w:r>
        <w:rPr>
          <w:rFonts w:ascii="仿宋_GB2312" w:eastAsia="仿宋_GB2312" w:hAnsi="仿宋_GB2312" w:cs="仿宋_GB2312" w:hint="eastAsia"/>
          <w:sz w:val="32"/>
          <w:szCs w:val="32"/>
          <w:lang w:val="zh-TW" w:eastAsia="zh-TW"/>
        </w:rPr>
        <w:t>推荐</w:t>
      </w:r>
      <w:r>
        <w:rPr>
          <w:rFonts w:ascii="Times New Roman" w:eastAsia="仿宋_GB2312" w:hAnsi="Times New Roman" w:cs="仿宋_GB2312" w:hint="eastAsia"/>
          <w:sz w:val="32"/>
          <w:szCs w:val="32"/>
          <w:lang w:val="zh-TW" w:eastAsia="zh-TW"/>
        </w:rPr>
        <w:t>9</w:t>
      </w:r>
      <w:r>
        <w:rPr>
          <w:rFonts w:ascii="仿宋_GB2312" w:eastAsia="仿宋_GB2312" w:hAnsi="仿宋_GB2312" w:cs="仿宋_GB2312" w:hint="eastAsia"/>
          <w:sz w:val="32"/>
          <w:szCs w:val="32"/>
          <w:lang w:val="zh-TW" w:eastAsia="zh-TW"/>
        </w:rPr>
        <w:t>家龙头企业申报国家科</w:t>
      </w:r>
      <w:r>
        <w:rPr>
          <w:rFonts w:ascii="仿宋_GB2312" w:eastAsia="仿宋_GB2312" w:hAnsi="仿宋_GB2312" w:cs="仿宋_GB2312" w:hint="eastAsia"/>
          <w:sz w:val="32"/>
          <w:szCs w:val="32"/>
        </w:rPr>
        <w:t>技领军企业；</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家企业获评省潜在独角兽企业；</w:t>
      </w:r>
      <w:r>
        <w:rPr>
          <w:rFonts w:ascii="Times New Roman" w:eastAsia="仿宋_GB2312" w:hAnsi="Times New Roman" w:cs="仿宋_GB2312" w:hint="eastAsia"/>
          <w:sz w:val="32"/>
          <w:szCs w:val="32"/>
        </w:rPr>
        <w:t>17</w:t>
      </w:r>
      <w:r>
        <w:rPr>
          <w:rFonts w:ascii="仿宋_GB2312" w:eastAsia="仿宋_GB2312" w:hAnsi="仿宋_GB2312" w:cs="仿宋_GB2312" w:hint="eastAsia"/>
          <w:sz w:val="32"/>
          <w:szCs w:val="32"/>
        </w:rPr>
        <w:t>家企业获评省瞪羚企业，同比增长</w:t>
      </w:r>
      <w:r>
        <w:rPr>
          <w:rFonts w:ascii="Times New Roman" w:eastAsia="仿宋_GB2312" w:hAnsi="Times New Roman" w:cs="仿宋_GB2312" w:hint="eastAsia"/>
          <w:sz w:val="32"/>
          <w:szCs w:val="32"/>
        </w:rPr>
        <w:t>240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1C13F2" w:rsidRDefault="00313C68">
      <w:pPr>
        <w:widowControl/>
        <w:spacing w:line="540" w:lineRule="exact"/>
        <w:ind w:firstLineChars="200" w:firstLine="640"/>
        <w:jc w:val="left"/>
        <w:rPr>
          <w:rFonts w:ascii="楷体_GB2312" w:eastAsia="楷体_GB2312" w:hAnsi="楷体_GB2312" w:cs="楷体_GB2312"/>
          <w:color w:val="000000"/>
          <w:kern w:val="0"/>
          <w:sz w:val="32"/>
          <w:szCs w:val="32"/>
          <w:lang/>
        </w:rPr>
      </w:pPr>
      <w:r>
        <w:rPr>
          <w:rFonts w:ascii="楷体_GB2312" w:eastAsia="楷体_GB2312" w:hAnsi="楷体_GB2312" w:cs="楷体_GB2312" w:hint="eastAsia"/>
          <w:sz w:val="32"/>
          <w:szCs w:val="32"/>
        </w:rPr>
        <w:t>（二）聚力高价值创造，全面推进知识产权转化应用</w:t>
      </w:r>
    </w:p>
    <w:p w:rsidR="001C13F2" w:rsidRDefault="00313C68" w:rsidP="003260FA">
      <w:pPr>
        <w:spacing w:line="540" w:lineRule="exact"/>
        <w:ind w:firstLineChars="200" w:firstLine="643"/>
        <w:rPr>
          <w:rFonts w:ascii="仿宋_GB2312" w:eastAsia="仿宋_GB2312" w:hAnsi="仿宋_GB2312" w:cs="仿宋_GB2312"/>
          <w:sz w:val="32"/>
          <w:szCs w:val="32"/>
          <w:lang w:eastAsia="zh-TW"/>
        </w:rPr>
      </w:pPr>
      <w:r>
        <w:rPr>
          <w:rFonts w:ascii="仿宋_GB2312" w:eastAsia="仿宋_GB2312" w:hAnsi="仿宋_GB2312" w:cs="仿宋_GB2312" w:hint="eastAsia"/>
          <w:b/>
          <w:kern w:val="0"/>
          <w:sz w:val="32"/>
          <w:szCs w:val="32"/>
        </w:rPr>
        <w:t>一是</w:t>
      </w:r>
      <w:r>
        <w:rPr>
          <w:rFonts w:ascii="仿宋_GB2312" w:eastAsia="仿宋_GB2312" w:hAnsi="仿宋_GB2312" w:cs="仿宋_GB2312" w:hint="eastAsia"/>
          <w:b/>
          <w:kern w:val="0"/>
          <w:sz w:val="32"/>
          <w:szCs w:val="32"/>
        </w:rPr>
        <w:t>高效推进知识产权金融创新。</w:t>
      </w:r>
      <w:r>
        <w:rPr>
          <w:rFonts w:ascii="仿宋_GB2312" w:eastAsia="仿宋_GB2312" w:hAnsi="仿宋_GB2312" w:cs="仿宋_GB2312" w:hint="eastAsia"/>
          <w:bCs/>
          <w:kern w:val="0"/>
          <w:sz w:val="32"/>
          <w:szCs w:val="32"/>
        </w:rPr>
        <w:t>大力发展“互联网</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知识产权</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金融”平台，加快推进知识产权金融服务体系建设。开展知识产权质押融资“入园惠企”行动，全市多家银行、融资担保机构参与知识产权质押融资服务，知识产权质押融资累计</w:t>
      </w:r>
      <w:r>
        <w:rPr>
          <w:rFonts w:ascii="仿宋_GB2312" w:eastAsia="仿宋_GB2312" w:hAnsi="仿宋_GB2312" w:cs="仿宋_GB2312" w:hint="eastAsia"/>
          <w:bCs/>
          <w:kern w:val="0"/>
          <w:sz w:val="32"/>
          <w:szCs w:val="32"/>
        </w:rPr>
        <w:t>已</w:t>
      </w:r>
      <w:r>
        <w:rPr>
          <w:rFonts w:ascii="仿宋_GB2312" w:eastAsia="仿宋_GB2312" w:hAnsi="仿宋_GB2312" w:cs="仿宋_GB2312" w:hint="eastAsia"/>
          <w:bCs/>
          <w:kern w:val="0"/>
          <w:sz w:val="32"/>
          <w:szCs w:val="32"/>
        </w:rPr>
        <w:t>突破</w:t>
      </w:r>
      <w:r>
        <w:rPr>
          <w:rFonts w:ascii="Times New Roman" w:eastAsia="仿宋_GB2312" w:hAnsi="Times New Roman" w:cs="仿宋_GB2312" w:hint="eastAsia"/>
          <w:bCs/>
          <w:kern w:val="0"/>
          <w:sz w:val="32"/>
          <w:szCs w:val="32"/>
        </w:rPr>
        <w:t>100</w:t>
      </w:r>
      <w:r>
        <w:rPr>
          <w:rFonts w:ascii="仿宋_GB2312" w:eastAsia="仿宋_GB2312" w:hAnsi="仿宋_GB2312" w:cs="仿宋_GB2312" w:hint="eastAsia"/>
          <w:bCs/>
          <w:kern w:val="0"/>
          <w:sz w:val="32"/>
          <w:szCs w:val="32"/>
        </w:rPr>
        <w:t>亿元（</w:t>
      </w:r>
      <w:r>
        <w:rPr>
          <w:rFonts w:ascii="Times New Roman" w:eastAsia="仿宋_GB2312" w:hAnsi="Times New Roman" w:cs="仿宋_GB2312" w:hint="eastAsia"/>
          <w:bCs/>
          <w:kern w:val="0"/>
          <w:sz w:val="32"/>
          <w:szCs w:val="32"/>
        </w:rPr>
        <w:t>2023</w:t>
      </w:r>
      <w:r>
        <w:rPr>
          <w:rFonts w:ascii="仿宋_GB2312" w:eastAsia="仿宋_GB2312" w:hAnsi="仿宋_GB2312" w:cs="仿宋_GB2312" w:hint="eastAsia"/>
          <w:bCs/>
          <w:kern w:val="0"/>
          <w:sz w:val="32"/>
          <w:szCs w:val="32"/>
        </w:rPr>
        <w:t>年</w:t>
      </w:r>
      <w:r>
        <w:rPr>
          <w:rFonts w:ascii="Times New Roman" w:eastAsia="仿宋_GB2312" w:hAnsi="Times New Roman" w:cs="仿宋_GB2312" w:hint="eastAsia"/>
          <w:bCs/>
          <w:kern w:val="0"/>
          <w:sz w:val="32"/>
          <w:szCs w:val="32"/>
        </w:rPr>
        <w:t>50</w:t>
      </w:r>
      <w:r>
        <w:rPr>
          <w:rFonts w:ascii="仿宋_GB2312" w:eastAsia="仿宋_GB2312" w:hAnsi="仿宋_GB2312" w:cs="仿宋_GB2312" w:hint="eastAsia"/>
          <w:bCs/>
          <w:kern w:val="0"/>
          <w:sz w:val="32"/>
          <w:szCs w:val="32"/>
        </w:rPr>
        <w:t>亿元，</w:t>
      </w:r>
      <w:r>
        <w:rPr>
          <w:rFonts w:ascii="Times New Roman" w:eastAsia="仿宋_GB2312" w:hAnsi="Times New Roman" w:cs="仿宋_GB2312" w:hint="eastAsia"/>
          <w:bCs/>
          <w:kern w:val="0"/>
          <w:sz w:val="32"/>
          <w:szCs w:val="32"/>
        </w:rPr>
        <w:t>2024</w:t>
      </w:r>
      <w:r>
        <w:rPr>
          <w:rFonts w:ascii="仿宋_GB2312" w:eastAsia="仿宋_GB2312" w:hAnsi="仿宋_GB2312" w:cs="仿宋_GB2312" w:hint="eastAsia"/>
          <w:bCs/>
          <w:kern w:val="0"/>
          <w:sz w:val="32"/>
          <w:szCs w:val="32"/>
        </w:rPr>
        <w:t>年</w:t>
      </w:r>
      <w:r>
        <w:rPr>
          <w:rFonts w:ascii="Times New Roman" w:eastAsia="仿宋_GB2312" w:hAnsi="Times New Roman" w:cs="仿宋_GB2312" w:hint="eastAsia"/>
          <w:bCs/>
          <w:kern w:val="0"/>
          <w:sz w:val="32"/>
          <w:szCs w:val="32"/>
        </w:rPr>
        <w:t>26</w:t>
      </w:r>
      <w:r>
        <w:rPr>
          <w:rFonts w:ascii="仿宋_GB2312" w:eastAsia="仿宋_GB2312" w:hAnsi="仿宋_GB2312" w:cs="仿宋_GB2312" w:hint="eastAsia"/>
          <w:bCs/>
          <w:kern w:val="0"/>
          <w:sz w:val="32"/>
          <w:szCs w:val="32"/>
        </w:rPr>
        <w:t>亿元，</w:t>
      </w:r>
      <w:r>
        <w:rPr>
          <w:rFonts w:ascii="Times New Roman" w:eastAsia="仿宋_GB2312" w:hAnsi="Times New Roman" w:cs="仿宋_GB2312" w:hint="eastAsia"/>
          <w:bCs/>
          <w:kern w:val="0"/>
          <w:sz w:val="32"/>
          <w:szCs w:val="32"/>
        </w:rPr>
        <w:t>2025</w:t>
      </w:r>
      <w:r>
        <w:rPr>
          <w:rFonts w:ascii="仿宋_GB2312" w:eastAsia="仿宋_GB2312" w:hAnsi="仿宋_GB2312" w:cs="仿宋_GB2312" w:hint="eastAsia"/>
          <w:bCs/>
          <w:kern w:val="0"/>
          <w:sz w:val="32"/>
          <w:szCs w:val="32"/>
        </w:rPr>
        <w:t>年</w:t>
      </w:r>
      <w:r>
        <w:rPr>
          <w:rFonts w:ascii="Times New Roman" w:eastAsia="仿宋_GB2312" w:hAnsi="Times New Roman" w:cs="仿宋_GB2312" w:hint="eastAsia"/>
          <w:bCs/>
          <w:kern w:val="0"/>
          <w:sz w:val="32"/>
          <w:szCs w:val="32"/>
        </w:rPr>
        <w:t>1</w:t>
      </w:r>
      <w:r>
        <w:rPr>
          <w:rFonts w:ascii="仿宋_GB2312" w:eastAsia="仿宋_GB2312" w:hAnsi="仿宋_GB2312" w:cs="仿宋_GB2312" w:hint="eastAsia"/>
          <w:bCs/>
          <w:kern w:val="0"/>
          <w:sz w:val="32"/>
          <w:szCs w:val="32"/>
        </w:rPr>
        <w:t>-</w:t>
      </w:r>
      <w:r>
        <w:rPr>
          <w:rFonts w:ascii="Times New Roman" w:eastAsia="仿宋_GB2312" w:hAnsi="Times New Roman" w:cs="仿宋_GB2312" w:hint="eastAsia"/>
          <w:bCs/>
          <w:kern w:val="0"/>
          <w:sz w:val="32"/>
          <w:szCs w:val="32"/>
        </w:rPr>
        <w:t>4</w:t>
      </w:r>
      <w:r>
        <w:rPr>
          <w:rFonts w:ascii="仿宋_GB2312" w:eastAsia="仿宋_GB2312" w:hAnsi="仿宋_GB2312" w:cs="仿宋_GB2312" w:hint="eastAsia"/>
          <w:bCs/>
          <w:kern w:val="0"/>
          <w:sz w:val="32"/>
          <w:szCs w:val="32"/>
        </w:rPr>
        <w:t>月</w:t>
      </w:r>
      <w:r>
        <w:rPr>
          <w:rFonts w:ascii="Times New Roman" w:eastAsia="仿宋_GB2312" w:hAnsi="Times New Roman" w:cs="仿宋_GB2312" w:hint="eastAsia"/>
          <w:bCs/>
          <w:kern w:val="0"/>
          <w:sz w:val="32"/>
          <w:szCs w:val="32"/>
        </w:rPr>
        <w:t>3</w:t>
      </w:r>
      <w:r>
        <w:rPr>
          <w:rFonts w:ascii="仿宋_GB2312" w:eastAsia="仿宋_GB2312" w:hAnsi="仿宋_GB2312" w:cs="仿宋_GB2312" w:hint="eastAsia"/>
          <w:bCs/>
          <w:kern w:val="0"/>
          <w:sz w:val="32"/>
          <w:szCs w:val="32"/>
        </w:rPr>
        <w:t>.</w:t>
      </w:r>
      <w:r>
        <w:rPr>
          <w:rFonts w:ascii="Times New Roman" w:eastAsia="仿宋_GB2312" w:hAnsi="Times New Roman" w:cs="仿宋_GB2312" w:hint="eastAsia"/>
          <w:bCs/>
          <w:kern w:val="0"/>
          <w:sz w:val="32"/>
          <w:szCs w:val="32"/>
        </w:rPr>
        <w:t>5</w:t>
      </w:r>
      <w:r>
        <w:rPr>
          <w:rFonts w:ascii="仿宋_GB2312" w:eastAsia="仿宋_GB2312" w:hAnsi="仿宋_GB2312" w:cs="仿宋_GB2312" w:hint="eastAsia"/>
          <w:bCs/>
          <w:kern w:val="0"/>
          <w:sz w:val="32"/>
          <w:szCs w:val="32"/>
        </w:rPr>
        <w:t>亿元</w:t>
      </w:r>
      <w:r>
        <w:rPr>
          <w:rFonts w:ascii="仿宋_GB2312" w:eastAsia="仿宋_GB2312" w:hAnsi="仿宋_GB2312" w:cs="仿宋_GB2312" w:hint="eastAsia"/>
          <w:bCs/>
          <w:kern w:val="0"/>
          <w:sz w:val="32"/>
          <w:szCs w:val="32"/>
        </w:rPr>
        <w:t>），惠及企业</w:t>
      </w:r>
      <w:r>
        <w:rPr>
          <w:rFonts w:ascii="Times New Roman" w:eastAsia="仿宋_GB2312" w:hAnsi="Times New Roman" w:cs="仿宋_GB2312" w:hint="eastAsia"/>
          <w:bCs/>
          <w:kern w:val="0"/>
          <w:sz w:val="32"/>
          <w:szCs w:val="32"/>
        </w:rPr>
        <w:t>200</w:t>
      </w:r>
      <w:r>
        <w:rPr>
          <w:rFonts w:ascii="仿宋_GB2312" w:eastAsia="仿宋_GB2312" w:hAnsi="仿宋_GB2312" w:cs="仿宋_GB2312" w:hint="eastAsia"/>
          <w:bCs/>
          <w:kern w:val="0"/>
          <w:sz w:val="32"/>
          <w:szCs w:val="32"/>
        </w:rPr>
        <w:t>家。</w:t>
      </w:r>
      <w:r>
        <w:rPr>
          <w:rFonts w:ascii="仿宋_GB2312" w:eastAsia="仿宋_GB2312" w:hAnsi="仿宋_GB2312" w:cs="仿宋_GB2312" w:hint="eastAsia"/>
          <w:b/>
          <w:kern w:val="0"/>
          <w:sz w:val="32"/>
          <w:szCs w:val="32"/>
        </w:rPr>
        <w:t>二是</w:t>
      </w:r>
      <w:r>
        <w:rPr>
          <w:rFonts w:ascii="仿宋_GB2312" w:eastAsia="仿宋_GB2312" w:hAnsi="仿宋_GB2312" w:cs="仿宋_GB2312" w:hint="eastAsia"/>
          <w:b/>
          <w:kern w:val="0"/>
          <w:sz w:val="32"/>
          <w:szCs w:val="32"/>
        </w:rPr>
        <w:t>持续推进专利导航服务</w:t>
      </w:r>
      <w:r>
        <w:rPr>
          <w:rFonts w:ascii="仿宋_GB2312" w:eastAsia="仿宋_GB2312" w:hAnsi="仿宋_GB2312" w:cs="仿宋_GB2312" w:hint="eastAsia"/>
          <w:bCs/>
          <w:kern w:val="0"/>
          <w:sz w:val="32"/>
          <w:szCs w:val="32"/>
        </w:rPr>
        <w:t>。聚焦产业结构和发展需求，建立“园区</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服务机构</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企业”的专利导航需求对接机制。完成新材料产业、高端装备制造产业和石化产业等专利导航。推广专利导航分析成果和产业专题数据库，惠及企业</w:t>
      </w:r>
      <w:r>
        <w:rPr>
          <w:rFonts w:ascii="Times New Roman" w:eastAsia="仿宋_GB2312" w:hAnsi="Times New Roman" w:cs="仿宋_GB2312" w:hint="eastAsia"/>
          <w:bCs/>
          <w:kern w:val="0"/>
          <w:sz w:val="32"/>
          <w:szCs w:val="32"/>
        </w:rPr>
        <w:t>700</w:t>
      </w:r>
      <w:r>
        <w:rPr>
          <w:rFonts w:ascii="仿宋_GB2312" w:eastAsia="仿宋_GB2312" w:hAnsi="仿宋_GB2312" w:cs="仿宋_GB2312" w:hint="eastAsia"/>
          <w:bCs/>
          <w:kern w:val="0"/>
          <w:sz w:val="32"/>
          <w:szCs w:val="32"/>
        </w:rPr>
        <w:t>余家。</w:t>
      </w:r>
      <w:r>
        <w:rPr>
          <w:rFonts w:ascii="仿宋_GB2312" w:eastAsia="仿宋_GB2312" w:hAnsi="仿宋_GB2312" w:cs="仿宋_GB2312" w:hint="eastAsia"/>
          <w:b/>
          <w:kern w:val="0"/>
          <w:sz w:val="32"/>
          <w:szCs w:val="32"/>
        </w:rPr>
        <w:t>三是</w:t>
      </w:r>
      <w:r>
        <w:rPr>
          <w:rFonts w:ascii="仿宋_GB2312" w:eastAsia="仿宋_GB2312" w:hAnsi="仿宋_GB2312" w:cs="仿宋_GB2312" w:hint="eastAsia"/>
          <w:b/>
          <w:kern w:val="0"/>
          <w:sz w:val="32"/>
          <w:szCs w:val="32"/>
        </w:rPr>
        <w:t>深入推进专利转化实施</w:t>
      </w:r>
      <w:r>
        <w:rPr>
          <w:rFonts w:ascii="仿宋_GB2312" w:eastAsia="仿宋_GB2312" w:hAnsi="仿宋_GB2312" w:cs="仿宋_GB2312" w:hint="eastAsia"/>
          <w:bCs/>
          <w:kern w:val="0"/>
          <w:sz w:val="32"/>
          <w:szCs w:val="32"/>
        </w:rPr>
        <w:t>。推动海州区与江苏海洋大学共建知识产权运营中心，提供金融、导航、交易和投资等综合服务，进一步提升区域知识产权转化运用能力。组织</w:t>
      </w:r>
      <w:r>
        <w:rPr>
          <w:rFonts w:ascii="Times New Roman" w:eastAsia="仿宋_GB2312" w:hAnsi="Times New Roman" w:cs="仿宋_GB2312" w:hint="eastAsia"/>
          <w:bCs/>
          <w:kern w:val="0"/>
          <w:sz w:val="32"/>
          <w:szCs w:val="32"/>
        </w:rPr>
        <w:t>5</w:t>
      </w:r>
      <w:r>
        <w:rPr>
          <w:rFonts w:ascii="仿宋_GB2312" w:eastAsia="仿宋_GB2312" w:hAnsi="仿宋_GB2312" w:cs="仿宋_GB2312" w:hint="eastAsia"/>
          <w:bCs/>
          <w:kern w:val="0"/>
          <w:sz w:val="32"/>
          <w:szCs w:val="32"/>
        </w:rPr>
        <w:t>所高校与</w:t>
      </w:r>
      <w:r>
        <w:rPr>
          <w:rFonts w:ascii="Times New Roman" w:eastAsia="仿宋_GB2312" w:hAnsi="Times New Roman" w:cs="仿宋_GB2312" w:hint="eastAsia"/>
          <w:bCs/>
          <w:kern w:val="0"/>
          <w:sz w:val="32"/>
          <w:szCs w:val="32"/>
        </w:rPr>
        <w:t>420</w:t>
      </w:r>
      <w:r>
        <w:rPr>
          <w:rFonts w:ascii="仿宋_GB2312" w:eastAsia="仿宋_GB2312" w:hAnsi="仿宋_GB2312" w:cs="仿宋_GB2312" w:hint="eastAsia"/>
          <w:bCs/>
          <w:kern w:val="0"/>
          <w:sz w:val="32"/>
          <w:szCs w:val="32"/>
        </w:rPr>
        <w:t>家企业开展线上专利匹配对接，</w:t>
      </w:r>
      <w:r>
        <w:rPr>
          <w:rFonts w:ascii="仿宋_GB2312" w:eastAsia="仿宋_GB2312" w:hAnsi="仿宋_GB2312" w:cs="仿宋_GB2312" w:hint="eastAsia"/>
          <w:bCs/>
          <w:kern w:val="0"/>
          <w:sz w:val="32"/>
          <w:szCs w:val="32"/>
          <w:lang w:val="zh-TW" w:eastAsia="zh-TW"/>
        </w:rPr>
        <w:t>江</w:t>
      </w:r>
      <w:r>
        <w:rPr>
          <w:rFonts w:ascii="仿宋_GB2312" w:eastAsia="仿宋_GB2312" w:hAnsi="仿宋_GB2312" w:cs="仿宋_GB2312" w:hint="eastAsia"/>
          <w:bCs/>
          <w:kern w:val="0"/>
          <w:sz w:val="32"/>
          <w:szCs w:val="32"/>
          <w:lang w:val="zh-TW" w:eastAsia="zh-TW"/>
        </w:rPr>
        <w:t>苏海洋大学</w:t>
      </w:r>
      <w:r>
        <w:rPr>
          <w:rFonts w:ascii="仿宋_GB2312" w:eastAsia="仿宋_GB2312" w:hAnsi="仿宋_GB2312" w:cs="仿宋_GB2312" w:hint="eastAsia"/>
          <w:bCs/>
          <w:kern w:val="0"/>
          <w:sz w:val="32"/>
          <w:szCs w:val="32"/>
          <w:lang w:val="zh-TW"/>
        </w:rPr>
        <w:t>提交</w:t>
      </w:r>
      <w:r>
        <w:rPr>
          <w:rFonts w:ascii="Times New Roman" w:eastAsia="仿宋_GB2312" w:hAnsi="Times New Roman" w:cs="仿宋_GB2312" w:hint="eastAsia"/>
          <w:bCs/>
          <w:kern w:val="0"/>
          <w:sz w:val="32"/>
          <w:szCs w:val="32"/>
          <w:lang w:val="zh-TW" w:eastAsia="zh-TW"/>
        </w:rPr>
        <w:t>7</w:t>
      </w:r>
      <w:r>
        <w:rPr>
          <w:rFonts w:ascii="仿宋_GB2312" w:eastAsia="仿宋_GB2312" w:hAnsi="仿宋_GB2312" w:cs="仿宋_GB2312" w:hint="eastAsia"/>
          <w:bCs/>
          <w:kern w:val="0"/>
          <w:sz w:val="32"/>
          <w:szCs w:val="32"/>
          <w:lang w:val="zh-TW" w:eastAsia="zh-TW"/>
        </w:rPr>
        <w:t>项专利开放许可声明</w:t>
      </w:r>
      <w:r>
        <w:rPr>
          <w:rFonts w:ascii="仿宋_GB2312" w:eastAsia="仿宋_GB2312" w:hAnsi="仿宋_GB2312" w:cs="仿宋_GB2312" w:hint="eastAsia"/>
          <w:bCs/>
          <w:kern w:val="0"/>
          <w:sz w:val="32"/>
          <w:szCs w:val="32"/>
          <w:lang w:val="zh-TW"/>
        </w:rPr>
        <w:t>，</w:t>
      </w:r>
      <w:r>
        <w:rPr>
          <w:rFonts w:ascii="仿宋_GB2312" w:eastAsia="仿宋_GB2312" w:hAnsi="仿宋_GB2312" w:cs="仿宋_GB2312" w:hint="eastAsia"/>
          <w:bCs/>
          <w:kern w:val="0"/>
          <w:sz w:val="32"/>
          <w:szCs w:val="32"/>
        </w:rPr>
        <w:t>盘点高校存量专利</w:t>
      </w:r>
      <w:r>
        <w:rPr>
          <w:rFonts w:ascii="Times New Roman" w:eastAsia="仿宋_GB2312" w:hAnsi="Times New Roman" w:cs="仿宋_GB2312" w:hint="eastAsia"/>
          <w:bCs/>
          <w:kern w:val="0"/>
          <w:sz w:val="32"/>
          <w:szCs w:val="32"/>
        </w:rPr>
        <w:t>990</w:t>
      </w:r>
      <w:r>
        <w:rPr>
          <w:rFonts w:ascii="仿宋_GB2312" w:eastAsia="仿宋_GB2312" w:hAnsi="仿宋_GB2312" w:cs="仿宋_GB2312" w:hint="eastAsia"/>
          <w:bCs/>
          <w:kern w:val="0"/>
          <w:sz w:val="32"/>
          <w:szCs w:val="32"/>
        </w:rPr>
        <w:t>件，申报专利密集型产品</w:t>
      </w:r>
      <w:r>
        <w:rPr>
          <w:rFonts w:ascii="Times New Roman" w:eastAsia="仿宋_GB2312" w:hAnsi="Times New Roman" w:cs="仿宋_GB2312" w:hint="eastAsia"/>
          <w:bCs/>
          <w:kern w:val="0"/>
          <w:sz w:val="32"/>
          <w:szCs w:val="32"/>
        </w:rPr>
        <w:t>242</w:t>
      </w:r>
      <w:r>
        <w:rPr>
          <w:rFonts w:ascii="仿宋_GB2312" w:eastAsia="仿宋_GB2312" w:hAnsi="仿宋_GB2312" w:cs="仿宋_GB2312" w:hint="eastAsia"/>
          <w:bCs/>
          <w:kern w:val="0"/>
          <w:sz w:val="32"/>
          <w:szCs w:val="32"/>
        </w:rPr>
        <w:t>件，许可转让专利</w:t>
      </w:r>
      <w:r>
        <w:rPr>
          <w:rFonts w:ascii="Times New Roman" w:eastAsia="仿宋_GB2312" w:hAnsi="Times New Roman" w:cs="仿宋_GB2312" w:hint="eastAsia"/>
          <w:bCs/>
          <w:kern w:val="0"/>
          <w:sz w:val="32"/>
          <w:szCs w:val="32"/>
        </w:rPr>
        <w:t>3535</w:t>
      </w:r>
      <w:r>
        <w:rPr>
          <w:rFonts w:ascii="仿宋_GB2312" w:eastAsia="仿宋_GB2312" w:hAnsi="仿宋_GB2312" w:cs="仿宋_GB2312" w:hint="eastAsia"/>
          <w:bCs/>
          <w:kern w:val="0"/>
          <w:sz w:val="32"/>
          <w:szCs w:val="32"/>
        </w:rPr>
        <w:t>件。</w:t>
      </w:r>
      <w:r>
        <w:rPr>
          <w:rFonts w:ascii="仿宋_GB2312" w:eastAsia="仿宋_GB2312" w:hAnsi="仿宋_GB2312" w:cs="仿宋_GB2312" w:hint="eastAsia"/>
          <w:bCs/>
          <w:kern w:val="0"/>
          <w:sz w:val="32"/>
          <w:szCs w:val="32"/>
        </w:rPr>
        <w:t>鼓励引导企业技术创新，引进专业人才，通过入股或并购方式购买中小企业新成果并实现产业化。设立医疗机构专利成果转化基金，多渠道引入社会资本，实现“孵化</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投资”双轮驱动成果转化模式。</w:t>
      </w:r>
    </w:p>
    <w:p w:rsidR="001C13F2" w:rsidRDefault="00313C68">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（三）聚力高水平保护，全面优化知识产权发展环境</w:t>
      </w:r>
    </w:p>
    <w:p w:rsidR="001C13F2" w:rsidRDefault="00313C68">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印发《关于进一步推进知识产权保护和维权援助工作的实施意见》，推动全市范围知识产权维权援助机构建设，构建点面结合、社会共治的维权援助工作体系。制定《关于建立知识产权纠纷诉调对接机制的工作意见（试行）》，进一步推进知识产权纠纷人民调解、仲裁调解机构建设和诉调对接工作。与淮海经济区</w:t>
      </w:r>
      <w:r>
        <w:rPr>
          <w:rFonts w:ascii="Times New Roman" w:eastAsia="仿宋_GB2312" w:hAnsi="Times New Roman" w:cs="仿宋_GB2312" w:hint="eastAsia"/>
          <w:sz w:val="32"/>
          <w:szCs w:val="32"/>
        </w:rPr>
        <w:t>10</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城市签署《淮海经济区知识产权行政与司法协同保护协议书》，进一步促进知识产权行政司法协同、跨域交流合作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为推进建设知识产权快速协同保护体系建设打下坚实基础。</w:t>
      </w:r>
      <w:r>
        <w:rPr>
          <w:rFonts w:ascii="仿宋_GB2312" w:eastAsia="仿宋_GB2312" w:hAnsi="仿宋_GB2312" w:cs="仿宋_GB2312" w:hint="eastAsia"/>
          <w:b/>
          <w:bCs/>
          <w:sz w:val="32"/>
          <w:szCs w:val="32"/>
        </w:rPr>
        <w:t>一是打造“严保护”环境。</w:t>
      </w:r>
      <w:r>
        <w:rPr>
          <w:rFonts w:ascii="仿宋_GB2312" w:eastAsia="仿宋_GB2312" w:hAnsi="仿宋_GB2312" w:cs="仿宋_GB2312" w:hint="eastAsia"/>
          <w:sz w:val="32"/>
          <w:szCs w:val="32"/>
        </w:rPr>
        <w:t>赣榆区成功获批国家级专利侵权纠纷行政裁决规范化建设试点。启动《连云港市知识产权促进和保护条例》立法，优化专利行政裁决、技术调查官参与办案、信用惩戒及案件公示等工作机制。</w:t>
      </w:r>
      <w:r>
        <w:rPr>
          <w:rFonts w:ascii="Times New Roman" w:eastAsia="仿宋_GB2312" w:hAnsi="Times New Roman" w:cs="仿宋_GB2312" w:hint="eastAsia"/>
          <w:sz w:val="32"/>
          <w:szCs w:val="32"/>
        </w:rPr>
        <w:t>2024</w:t>
      </w:r>
      <w:r>
        <w:rPr>
          <w:rFonts w:ascii="仿宋_GB2312" w:eastAsia="仿宋_GB2312" w:hAnsi="仿宋_GB2312" w:cs="仿宋_GB2312" w:hint="eastAsia"/>
          <w:sz w:val="32"/>
          <w:szCs w:val="32"/>
        </w:rPr>
        <w:t>年，全市共办理专利和商标违法案件</w:t>
      </w:r>
      <w:r>
        <w:rPr>
          <w:rFonts w:ascii="Times New Roman" w:eastAsia="仿宋_GB2312" w:hAnsi="Times New Roman" w:cs="仿宋_GB2312" w:hint="eastAsia"/>
          <w:sz w:val="32"/>
          <w:szCs w:val="32"/>
        </w:rPr>
        <w:t>122</w:t>
      </w:r>
      <w:r>
        <w:rPr>
          <w:rFonts w:ascii="仿宋_GB2312" w:eastAsia="仿宋_GB2312" w:hAnsi="仿宋_GB2312" w:cs="仿宋_GB2312" w:hint="eastAsia"/>
          <w:sz w:val="32"/>
          <w:szCs w:val="32"/>
        </w:rPr>
        <w:t>件，版权执法案件共</w:t>
      </w:r>
      <w:r>
        <w:rPr>
          <w:rFonts w:ascii="Times New Roman" w:eastAsia="仿宋_GB2312" w:hAnsi="Times New Roman" w:cs="仿宋_GB2312" w:hint="eastAsia"/>
          <w:sz w:val="32"/>
          <w:szCs w:val="32"/>
        </w:rPr>
        <w:t>17</w:t>
      </w:r>
      <w:r>
        <w:rPr>
          <w:rFonts w:ascii="仿宋_GB2312" w:eastAsia="仿宋_GB2312" w:hAnsi="仿宋_GB2312" w:cs="仿宋_GB2312" w:hint="eastAsia"/>
          <w:sz w:val="32"/>
          <w:szCs w:val="32"/>
        </w:rPr>
        <w:t>起，法院一审知识产权刑事案件</w:t>
      </w:r>
      <w:r>
        <w:rPr>
          <w:rFonts w:ascii="Times New Roman" w:eastAsia="仿宋_GB2312" w:hAnsi="Times New Roman" w:cs="仿宋_GB2312" w:hint="eastAsia"/>
          <w:sz w:val="32"/>
          <w:szCs w:val="32"/>
        </w:rPr>
        <w:t>27</w:t>
      </w:r>
      <w:r>
        <w:rPr>
          <w:rFonts w:ascii="仿宋_GB2312" w:eastAsia="仿宋_GB2312" w:hAnsi="仿宋_GB2312" w:cs="仿宋_GB2312" w:hint="eastAsia"/>
          <w:sz w:val="32"/>
          <w:szCs w:val="32"/>
        </w:rPr>
        <w:t>件，审结</w:t>
      </w:r>
      <w:r>
        <w:rPr>
          <w:rFonts w:ascii="Times New Roman" w:eastAsia="仿宋_GB2312" w:hAnsi="Times New Roman" w:cs="仿宋_GB2312" w:hint="eastAsia"/>
          <w:sz w:val="32"/>
          <w:szCs w:val="32"/>
        </w:rPr>
        <w:t>16</w:t>
      </w:r>
      <w:r>
        <w:rPr>
          <w:rFonts w:ascii="仿宋_GB2312" w:eastAsia="仿宋_GB2312" w:hAnsi="仿宋_GB2312" w:cs="仿宋_GB2312" w:hint="eastAsia"/>
          <w:sz w:val="32"/>
          <w:szCs w:val="32"/>
        </w:rPr>
        <w:t>件，</w:t>
      </w:r>
      <w:r>
        <w:rPr>
          <w:rFonts w:ascii="Times New Roman" w:eastAsia="仿宋_GB2312" w:hAnsi="Times New Roman" w:cs="仿宋_GB2312" w:hint="eastAsia"/>
          <w:sz w:val="32"/>
          <w:szCs w:val="32"/>
        </w:rPr>
        <w:t>34</w:t>
      </w:r>
      <w:r>
        <w:rPr>
          <w:rFonts w:ascii="仿宋_GB2312" w:eastAsia="仿宋_GB2312" w:hAnsi="仿宋_GB2312" w:cs="仿宋_GB2312" w:hint="eastAsia"/>
          <w:sz w:val="32"/>
          <w:szCs w:val="32"/>
        </w:rPr>
        <w:t>名被告人被依法追究刑事责任。</w:t>
      </w:r>
      <w:r>
        <w:rPr>
          <w:rFonts w:ascii="仿宋_GB2312" w:eastAsia="仿宋_GB2312" w:hAnsi="仿宋_GB2312" w:cs="仿宋_GB2312" w:hint="eastAsia"/>
          <w:b/>
          <w:bCs/>
          <w:sz w:val="32"/>
          <w:szCs w:val="32"/>
        </w:rPr>
        <w:t>二是完善“大保护”格局。</w:t>
      </w:r>
      <w:r>
        <w:rPr>
          <w:rFonts w:ascii="仿宋_GB2312" w:eastAsia="仿宋_GB2312" w:hAnsi="仿宋_GB2312" w:cs="仿宋_GB2312" w:hint="eastAsia"/>
          <w:sz w:val="32"/>
          <w:szCs w:val="32"/>
        </w:rPr>
        <w:t>完善政府主导、部门协同、社会参与的知识产权保护工作机制，搭建知识产权“一站式”协同保护平台。推动知识产权纠纷多元化解决，推进知识产权纠纷调解委员会、知识产权维权援助机构、行</w:t>
      </w:r>
      <w:r>
        <w:rPr>
          <w:rFonts w:ascii="仿宋_GB2312" w:eastAsia="仿宋_GB2312" w:hAnsi="仿宋_GB2312" w:cs="仿宋_GB2312" w:hint="eastAsia"/>
          <w:sz w:val="32"/>
          <w:szCs w:val="32"/>
        </w:rPr>
        <w:t>业协会商会等更好发挥纠纷化解功能。</w:t>
      </w:r>
      <w:r>
        <w:rPr>
          <w:rFonts w:ascii="仿宋_GB2312" w:eastAsia="仿宋_GB2312" w:hAnsi="仿宋_GB2312" w:cs="仿宋_GB2312" w:hint="eastAsia"/>
          <w:b/>
          <w:bCs/>
          <w:sz w:val="32"/>
          <w:szCs w:val="32"/>
        </w:rPr>
        <w:t>三是构建“快保护”机制。</w:t>
      </w:r>
      <w:r>
        <w:rPr>
          <w:rFonts w:ascii="仿宋_GB2312" w:eastAsia="仿宋_GB2312" w:hAnsi="仿宋_GB2312" w:cs="仿宋_GB2312" w:hint="eastAsia"/>
          <w:sz w:val="32"/>
          <w:szCs w:val="32"/>
        </w:rPr>
        <w:t>建立案件快速受理和科学分流机制，为重点产业提供知识产权快速审查、快速确权、快速维权“一站式”纠纷解决方案。</w:t>
      </w:r>
      <w:r>
        <w:rPr>
          <w:rFonts w:ascii="Times New Roman" w:eastAsia="仿宋_GB2312" w:hAnsi="Times New Roman" w:cs="仿宋_GB2312" w:hint="eastAsia"/>
          <w:sz w:val="32"/>
          <w:szCs w:val="32"/>
          <w:lang w:val="zh-TW"/>
        </w:rPr>
        <w:t>6</w:t>
      </w:r>
      <w:r>
        <w:rPr>
          <w:rFonts w:ascii="仿宋_GB2312" w:eastAsia="仿宋_GB2312" w:hAnsi="仿宋_GB2312" w:cs="仿宋_GB2312" w:hint="eastAsia"/>
          <w:sz w:val="32"/>
          <w:szCs w:val="32"/>
          <w:lang w:val="zh-TW"/>
        </w:rPr>
        <w:t>个县区均成立知识产权维权援助中心，</w:t>
      </w:r>
      <w:r>
        <w:rPr>
          <w:rFonts w:ascii="Times New Roman" w:eastAsia="仿宋_GB2312" w:hAnsi="Times New Roman" w:cs="仿宋_GB2312" w:hint="eastAsia"/>
          <w:sz w:val="32"/>
          <w:szCs w:val="32"/>
        </w:rPr>
        <w:t>5</w:t>
      </w:r>
      <w:r>
        <w:rPr>
          <w:rFonts w:ascii="仿宋_GB2312" w:eastAsia="仿宋_GB2312" w:hAnsi="仿宋_GB2312" w:cs="仿宋_GB2312" w:hint="eastAsia"/>
          <w:sz w:val="32"/>
          <w:szCs w:val="32"/>
        </w:rPr>
        <w:t>个县区成立知识产</w:t>
      </w:r>
      <w:r>
        <w:rPr>
          <w:rFonts w:ascii="仿宋_GB2312" w:eastAsia="仿宋_GB2312" w:hAnsi="仿宋_GB2312" w:cs="仿宋_GB2312" w:hint="eastAsia"/>
          <w:sz w:val="32"/>
          <w:szCs w:val="32"/>
          <w:lang w:val="zh-TW"/>
        </w:rPr>
        <w:t>权人民调解委员会，</w:t>
      </w:r>
      <w:r>
        <w:rPr>
          <w:rFonts w:ascii="仿宋_GB2312" w:eastAsia="仿宋_GB2312" w:hAnsi="仿宋_GB2312" w:cs="仿宋_GB2312" w:hint="eastAsia"/>
          <w:sz w:val="32"/>
          <w:szCs w:val="32"/>
        </w:rPr>
        <w:t>构建上下联动的知识产权维权援助网络。</w:t>
      </w:r>
      <w:r>
        <w:rPr>
          <w:rFonts w:ascii="仿宋_GB2312" w:eastAsia="仿宋_GB2312" w:hAnsi="仿宋_GB2312" w:cs="仿宋_GB2312" w:hint="eastAsia"/>
          <w:b/>
          <w:bCs/>
          <w:sz w:val="32"/>
          <w:szCs w:val="32"/>
        </w:rPr>
        <w:t>四是推动“同保护”工作。</w:t>
      </w:r>
      <w:r>
        <w:rPr>
          <w:rFonts w:ascii="仿宋_GB2312" w:eastAsia="仿宋_GB2312" w:hAnsi="仿宋_GB2312" w:cs="仿宋_GB2312" w:hint="eastAsia"/>
          <w:sz w:val="32"/>
          <w:szCs w:val="32"/>
        </w:rPr>
        <w:t>不断强化涉外风险防控，健全海外知识产权纠纷应对指导体系，成功获批海外知识产权纠纷应</w:t>
      </w:r>
      <w:r>
        <w:rPr>
          <w:rFonts w:ascii="仿宋_GB2312" w:eastAsia="仿宋_GB2312" w:hAnsi="仿宋_GB2312" w:cs="仿宋_GB2312" w:hint="eastAsia"/>
          <w:sz w:val="32"/>
          <w:szCs w:val="32"/>
        </w:rPr>
        <w:lastRenderedPageBreak/>
        <w:t>对指导连云港分中心，为我市重点产业和企业提供海外知识产权法律法规、国际规则等专业解读和咨询服务，做好风险防范。</w:t>
      </w:r>
    </w:p>
    <w:p w:rsidR="001C13F2" w:rsidRDefault="00313C68">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w:t>
      </w:r>
      <w:r>
        <w:rPr>
          <w:rFonts w:ascii="楷体_GB2312" w:eastAsia="楷体_GB2312" w:hAnsi="楷体_GB2312" w:cs="楷体_GB2312" w:hint="eastAsia"/>
          <w:sz w:val="32"/>
          <w:szCs w:val="32"/>
        </w:rPr>
        <w:t>聚力集成化服务，</w:t>
      </w:r>
      <w:r>
        <w:rPr>
          <w:rFonts w:ascii="楷体_GB2312" w:eastAsia="楷体_GB2312" w:hAnsi="楷体_GB2312" w:cs="楷体_GB2312" w:hint="eastAsia"/>
          <w:sz w:val="32"/>
          <w:szCs w:val="32"/>
        </w:rPr>
        <w:t>全面打造知识产权特色品牌</w:t>
      </w:r>
    </w:p>
    <w:p w:rsidR="001C13F2" w:rsidRDefault="00313C68" w:rsidP="003260FA">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一是打造“一个”核心。</w:t>
      </w:r>
      <w:r>
        <w:rPr>
          <w:rFonts w:ascii="仿宋_GB2312" w:eastAsia="仿宋_GB2312" w:hAnsi="仿宋_GB2312" w:cs="仿宋_GB2312" w:hint="eastAsia"/>
          <w:sz w:val="32"/>
          <w:szCs w:val="32"/>
        </w:rPr>
        <w:t>国家级知识产权保护中心建成运行，为我市医药和智能制造产业领域企业提供专利预审服务。依托中心，打造集快速审查、快速确权、快速维权、协同保护、专利导航、知产运营“六位一体”的综合服务体系。</w:t>
      </w:r>
      <w:r>
        <w:rPr>
          <w:rFonts w:ascii="仿宋_GB2312" w:eastAsia="仿宋_GB2312" w:hAnsi="仿宋_GB2312" w:cs="仿宋_GB2312" w:hint="eastAsia"/>
          <w:b/>
          <w:bCs/>
          <w:sz w:val="32"/>
          <w:szCs w:val="32"/>
        </w:rPr>
        <w:t>二是建成“四个”机构。</w:t>
      </w:r>
      <w:r>
        <w:rPr>
          <w:rFonts w:ascii="仿宋_GB2312" w:eastAsia="仿宋_GB2312" w:hAnsi="仿宋_GB2312" w:cs="仿宋_GB2312" w:hint="eastAsia"/>
          <w:sz w:val="32"/>
          <w:szCs w:val="32"/>
        </w:rPr>
        <w:t>国家知识产权局商标业务受理窗口、南京专利代办处连云港工作站、</w:t>
      </w:r>
      <w:r>
        <w:rPr>
          <w:rFonts w:ascii="Times New Roman" w:eastAsia="仿宋_GB2312" w:hAnsi="Times New Roman" w:cs="仿宋_GB2312" w:hint="eastAsia"/>
          <w:sz w:val="32"/>
          <w:szCs w:val="32"/>
        </w:rPr>
        <w:t>5</w:t>
      </w:r>
      <w:r>
        <w:rPr>
          <w:rFonts w:ascii="仿宋_GB2312" w:eastAsia="仿宋_GB2312" w:hAnsi="仿宋_GB2312" w:cs="仿宋_GB2312" w:hint="eastAsia"/>
          <w:sz w:val="32"/>
          <w:szCs w:val="32"/>
        </w:rPr>
        <w:t>家省知识产权信息公共服务网点和省知识产权培训江苏海洋大学基地等一批国家级、省级机构相继建成运行。</w:t>
      </w:r>
      <w:r>
        <w:rPr>
          <w:rFonts w:ascii="仿宋_GB2312" w:eastAsia="仿宋_GB2312" w:hAnsi="仿宋_GB2312" w:cs="仿宋_GB2312" w:hint="eastAsia"/>
          <w:b/>
          <w:bCs/>
          <w:sz w:val="32"/>
          <w:szCs w:val="32"/>
        </w:rPr>
        <w:t>三是开通“一批”窗口。</w:t>
      </w:r>
      <w:r>
        <w:rPr>
          <w:rFonts w:ascii="仿宋_GB2312" w:eastAsia="仿宋_GB2312" w:hAnsi="仿宋_GB2312" w:cs="仿宋_GB2312" w:hint="eastAsia"/>
          <w:sz w:val="32"/>
          <w:szCs w:val="32"/>
        </w:rPr>
        <w:t>建设三个知识产权保护县区分中心，实现综合性公共服务机构县域全覆盖。</w:t>
      </w:r>
      <w:r>
        <w:rPr>
          <w:rFonts w:ascii="Times New Roman" w:eastAsia="仿宋_GB2312" w:hAnsi="Times New Roman" w:cs="仿宋_GB2312" w:hint="eastAsia"/>
          <w:sz w:val="32"/>
          <w:szCs w:val="32"/>
        </w:rPr>
        <w:t>50</w:t>
      </w:r>
      <w:r>
        <w:rPr>
          <w:rFonts w:ascii="仿宋_GB2312" w:eastAsia="仿宋_GB2312" w:hAnsi="仿宋_GB2312" w:cs="仿宋_GB2312" w:hint="eastAsia"/>
          <w:sz w:val="32"/>
          <w:szCs w:val="32"/>
        </w:rPr>
        <w:t>家知识产权工作站（商标品牌指导站）完成备案。知识产权“一件事”窗口进驻市政务服务中心，实现</w:t>
      </w:r>
      <w:r>
        <w:rPr>
          <w:rFonts w:ascii="Times New Roman" w:eastAsia="仿宋_GB2312" w:hAnsi="Times New Roman" w:cs="仿宋_GB2312" w:hint="eastAsia"/>
          <w:sz w:val="32"/>
          <w:szCs w:val="32"/>
        </w:rPr>
        <w:t>18</w:t>
      </w:r>
      <w:r>
        <w:rPr>
          <w:rFonts w:ascii="仿宋_GB2312" w:eastAsia="仿宋_GB2312" w:hAnsi="仿宋_GB2312" w:cs="仿宋_GB2312" w:hint="eastAsia"/>
          <w:sz w:val="32"/>
          <w:szCs w:val="32"/>
        </w:rPr>
        <w:t>项知识产权公共服务事项“一窗通办”，为各类市场主体提供便捷、高效的知识产权服务。</w:t>
      </w:r>
    </w:p>
    <w:p w:rsidR="001C13F2" w:rsidRDefault="00313C68">
      <w:pPr>
        <w:spacing w:line="540" w:lineRule="exact"/>
        <w:ind w:firstLineChars="200" w:firstLine="640"/>
        <w:rPr>
          <w:rFonts w:ascii="黑体" w:eastAsia="黑体" w:hAnsi="黑体" w:cs="黑体"/>
          <w:sz w:val="32"/>
          <w:szCs w:val="32"/>
        </w:rPr>
      </w:pPr>
      <w:r>
        <w:rPr>
          <w:rFonts w:ascii="黑体" w:eastAsia="黑体" w:hAnsi="黑体" w:cs="黑体" w:hint="eastAsia"/>
          <w:sz w:val="32"/>
          <w:szCs w:val="32"/>
        </w:rPr>
        <w:t>二、下一步工作安排：</w:t>
      </w:r>
    </w:p>
    <w:p w:rsidR="001C13F2" w:rsidRDefault="00313C68">
      <w:pPr>
        <w:spacing w:line="540" w:lineRule="exact"/>
        <w:ind w:firstLineChars="200" w:firstLine="640"/>
        <w:rPr>
          <w:rFonts w:ascii="仿宋_GB2312" w:eastAsia="仿宋_GB2312" w:hAnsi="仿宋_GB2312" w:cs="仿宋_GB2312"/>
          <w:sz w:val="32"/>
          <w:szCs w:val="32"/>
          <w:lang w:val="zh-TW" w:eastAsia="zh-TW"/>
        </w:rPr>
      </w:pPr>
      <w:r>
        <w:rPr>
          <w:rFonts w:ascii="仿宋_GB2312" w:eastAsia="仿宋_GB2312" w:hAnsi="仿宋_GB2312" w:cs="仿宋_GB2312" w:hint="eastAsia"/>
          <w:sz w:val="32"/>
          <w:szCs w:val="32"/>
        </w:rPr>
        <w:t>市市场局将与提案协办单位，将继续按照知识产权强市试点城市建设方案分工责任，立足各自工作职责，在</w:t>
      </w:r>
      <w:r>
        <w:rPr>
          <w:rFonts w:ascii="仿宋_GB2312" w:eastAsia="仿宋_GB2312" w:hAnsi="仿宋_GB2312" w:cs="仿宋_GB2312" w:hint="eastAsia"/>
          <w:sz w:val="32"/>
          <w:szCs w:val="32"/>
          <w:lang w:val="zh-TW" w:eastAsia="zh-TW"/>
        </w:rPr>
        <w:t>知识产权创造、运用、保护、管理和服务</w:t>
      </w:r>
      <w:r>
        <w:rPr>
          <w:rFonts w:ascii="仿宋_GB2312" w:eastAsia="仿宋_GB2312" w:hAnsi="仿宋_GB2312" w:cs="仿宋_GB2312" w:hint="eastAsia"/>
          <w:sz w:val="32"/>
          <w:szCs w:val="32"/>
        </w:rPr>
        <w:t>上下功夫</w:t>
      </w:r>
      <w:r>
        <w:rPr>
          <w:rFonts w:ascii="仿宋_GB2312" w:eastAsia="仿宋_GB2312" w:hAnsi="仿宋_GB2312" w:cs="仿宋_GB2312" w:hint="eastAsia"/>
          <w:sz w:val="32"/>
          <w:szCs w:val="32"/>
          <w:lang w:val="zh-TW" w:eastAsia="zh-TW"/>
        </w:rPr>
        <w:t>，推动我市知识产权综合实力实现跃升，实现知识产权对经济社会发展的支撑作用。</w:t>
      </w:r>
    </w:p>
    <w:p w:rsidR="001C13F2" w:rsidRDefault="00313C68">
      <w:pPr>
        <w:spacing w:line="540" w:lineRule="exact"/>
        <w:ind w:firstLineChars="200" w:firstLine="640"/>
        <w:rPr>
          <w:rFonts w:ascii="仿宋_GB2312" w:eastAsia="仿宋_GB2312" w:hAnsi="仿宋_GB2312" w:cs="仿宋_GB2312"/>
          <w:sz w:val="32"/>
          <w:szCs w:val="32"/>
          <w:lang w:val="zh-TW" w:eastAsia="zh-TW"/>
        </w:rPr>
      </w:pPr>
      <w:r>
        <w:rPr>
          <w:rFonts w:ascii="楷体_GB2312" w:eastAsia="楷体_GB2312" w:hAnsi="楷体_GB2312" w:cs="楷体_GB2312" w:hint="eastAsia"/>
          <w:sz w:val="32"/>
          <w:szCs w:val="32"/>
          <w:lang w:val="zh-TW" w:eastAsia="zh-TW"/>
        </w:rPr>
        <w:t>一是聚焦顶层政策设计，构建战略支撑体系。</w:t>
      </w:r>
      <w:r>
        <w:rPr>
          <w:rFonts w:ascii="仿宋_GB2312" w:eastAsia="仿宋_GB2312" w:hAnsi="仿宋_GB2312" w:cs="仿宋_GB2312" w:hint="eastAsia"/>
          <w:sz w:val="32"/>
          <w:szCs w:val="32"/>
          <w:lang w:val="zh-TW" w:eastAsia="zh-TW"/>
        </w:rPr>
        <w:t>深化试点任务攻坚，落实国家知识产权强市重点任务，确保主要指标</w:t>
      </w:r>
      <w:r>
        <w:rPr>
          <w:rFonts w:ascii="仿宋_GB2312" w:eastAsia="仿宋_GB2312" w:hAnsi="仿宋_GB2312" w:cs="仿宋_GB2312" w:hint="eastAsia"/>
          <w:sz w:val="32"/>
          <w:szCs w:val="32"/>
          <w:lang w:val="zh-TW" w:eastAsia="zh-TW"/>
        </w:rPr>
        <w:t>全部达成。健全政策激励机制，充分发挥资金引导扶持作用，推动知识产权“量质”齐升。高标准谋划“十五五”知识产权发展规划，着力</w:t>
      </w:r>
      <w:r>
        <w:rPr>
          <w:rFonts w:ascii="仿宋_GB2312" w:eastAsia="仿宋_GB2312" w:hAnsi="仿宋_GB2312" w:cs="仿宋_GB2312" w:hint="eastAsia"/>
          <w:sz w:val="32"/>
          <w:szCs w:val="32"/>
          <w:lang w:val="zh-TW" w:eastAsia="zh-TW"/>
        </w:rPr>
        <w:lastRenderedPageBreak/>
        <w:t>提高知识产权领域治理体系和治理能力，全面提升知识产权强市建设水平，进一步发挥知识产权支撑引领创新驱动发展和经济转型升级作用，</w:t>
      </w:r>
    </w:p>
    <w:p w:rsidR="001C13F2" w:rsidRDefault="00313C68">
      <w:pPr>
        <w:spacing w:line="540" w:lineRule="exact"/>
        <w:ind w:firstLineChars="200" w:firstLine="640"/>
        <w:rPr>
          <w:rFonts w:ascii="仿宋_GB2312" w:eastAsia="仿宋_GB2312" w:hAnsi="仿宋_GB2312" w:cs="仿宋_GB2312"/>
          <w:sz w:val="32"/>
          <w:szCs w:val="32"/>
          <w:lang w:val="zh-TW" w:eastAsia="zh-TW"/>
        </w:rPr>
      </w:pPr>
      <w:r>
        <w:rPr>
          <w:rFonts w:ascii="楷体_GB2312" w:eastAsia="楷体_GB2312" w:hAnsi="楷体_GB2312" w:cs="楷体_GB2312" w:hint="eastAsia"/>
          <w:sz w:val="32"/>
          <w:szCs w:val="32"/>
          <w:lang w:val="zh-TW" w:eastAsia="zh-TW"/>
        </w:rPr>
        <w:t>二是聚焦产业提档升级，激发创新创造活力。</w:t>
      </w:r>
      <w:r>
        <w:rPr>
          <w:rFonts w:ascii="仿宋_GB2312" w:eastAsia="仿宋_GB2312" w:hAnsi="仿宋_GB2312" w:cs="仿宋_GB2312" w:hint="eastAsia"/>
          <w:sz w:val="32"/>
          <w:szCs w:val="32"/>
          <w:lang w:val="zh-TW" w:eastAsia="zh-TW"/>
        </w:rPr>
        <w:t>加快专精特新企业培育中心建设，大幅提升培育精准度，省级专精特新中小企业突破</w:t>
      </w:r>
      <w:r>
        <w:rPr>
          <w:rFonts w:ascii="Times New Roman" w:eastAsia="仿宋_GB2312" w:hAnsi="Times New Roman" w:cs="仿宋_GB2312" w:hint="eastAsia"/>
          <w:sz w:val="32"/>
          <w:szCs w:val="32"/>
          <w:lang w:val="zh-TW" w:eastAsia="zh-TW"/>
        </w:rPr>
        <w:t>220</w:t>
      </w:r>
      <w:r>
        <w:rPr>
          <w:rFonts w:ascii="仿宋_GB2312" w:eastAsia="仿宋_GB2312" w:hAnsi="仿宋_GB2312" w:cs="仿宋_GB2312" w:hint="eastAsia"/>
          <w:sz w:val="32"/>
          <w:szCs w:val="32"/>
          <w:lang w:val="zh-TW" w:eastAsia="zh-TW"/>
        </w:rPr>
        <w:t>家、国家级小巨人企业突破</w:t>
      </w:r>
      <w:r>
        <w:rPr>
          <w:rFonts w:ascii="Times New Roman" w:eastAsia="仿宋_GB2312" w:hAnsi="Times New Roman" w:cs="仿宋_GB2312" w:hint="eastAsia"/>
          <w:sz w:val="32"/>
          <w:szCs w:val="32"/>
          <w:lang w:val="zh-TW" w:eastAsia="zh-TW"/>
        </w:rPr>
        <w:t>32</w:t>
      </w:r>
      <w:r>
        <w:rPr>
          <w:rFonts w:ascii="仿宋_GB2312" w:eastAsia="仿宋_GB2312" w:hAnsi="仿宋_GB2312" w:cs="仿宋_GB2312" w:hint="eastAsia"/>
          <w:sz w:val="32"/>
          <w:szCs w:val="32"/>
          <w:lang w:val="zh-TW" w:eastAsia="zh-TW"/>
        </w:rPr>
        <w:t>家、制造业单项冠军达</w:t>
      </w:r>
      <w:r>
        <w:rPr>
          <w:rFonts w:ascii="Times New Roman" w:eastAsia="仿宋_GB2312" w:hAnsi="Times New Roman" w:cs="仿宋_GB2312" w:hint="eastAsia"/>
          <w:sz w:val="32"/>
          <w:szCs w:val="32"/>
          <w:lang w:val="zh-TW" w:eastAsia="zh-TW"/>
        </w:rPr>
        <w:t>7</w:t>
      </w:r>
      <w:r>
        <w:rPr>
          <w:rFonts w:ascii="仿宋_GB2312" w:eastAsia="仿宋_GB2312" w:hAnsi="仿宋_GB2312" w:cs="仿宋_GB2312" w:hint="eastAsia"/>
          <w:sz w:val="32"/>
          <w:szCs w:val="32"/>
          <w:lang w:val="zh-TW" w:eastAsia="zh-TW"/>
        </w:rPr>
        <w:t>家。围绕高端石化、新能源、海工装备等“卡脖子”领域，建立产业专利导航数据库，通过“揭榜挂帅”机制攻克核心技术难题。强化重点产业知识产权布局，支持龙头企业牵头组建产业知识产权联盟。鼓励企业利用</w:t>
      </w:r>
      <w:r>
        <w:rPr>
          <w:rFonts w:ascii="仿宋_GB2312" w:eastAsia="仿宋_GB2312" w:hAnsi="仿宋_GB2312" w:cs="仿宋_GB2312" w:hint="eastAsia"/>
          <w:sz w:val="32"/>
          <w:szCs w:val="32"/>
          <w:lang w:val="zh-TW" w:eastAsia="zh-TW"/>
        </w:rPr>
        <w:t>PCT</w:t>
      </w:r>
      <w:r>
        <w:rPr>
          <w:rFonts w:ascii="仿宋_GB2312" w:eastAsia="仿宋_GB2312" w:hAnsi="仿宋_GB2312" w:cs="仿宋_GB2312" w:hint="eastAsia"/>
          <w:sz w:val="32"/>
          <w:szCs w:val="32"/>
          <w:lang w:val="zh-TW" w:eastAsia="zh-TW"/>
        </w:rPr>
        <w:t>、马德里协定等国际规则加强海外布局。激活高校院所创新动能，实施高校存量专利盘活工程，通过“专利开放许可”“技术入股”等方式推动转化工作。加快专精特新企业培育中心建设，大幅提升培育精准度，省级专精特新中小企业突破</w:t>
      </w:r>
      <w:r>
        <w:rPr>
          <w:rFonts w:ascii="Times New Roman" w:eastAsia="仿宋_GB2312" w:hAnsi="Times New Roman" w:cs="仿宋_GB2312" w:hint="eastAsia"/>
          <w:sz w:val="32"/>
          <w:szCs w:val="32"/>
          <w:lang w:val="zh-TW" w:eastAsia="zh-TW"/>
        </w:rPr>
        <w:t>220</w:t>
      </w:r>
      <w:r>
        <w:rPr>
          <w:rFonts w:ascii="仿宋_GB2312" w:eastAsia="仿宋_GB2312" w:hAnsi="仿宋_GB2312" w:cs="仿宋_GB2312" w:hint="eastAsia"/>
          <w:sz w:val="32"/>
          <w:szCs w:val="32"/>
          <w:lang w:val="zh-TW" w:eastAsia="zh-TW"/>
        </w:rPr>
        <w:t>家、国家级小巨人企业突破</w:t>
      </w:r>
      <w:r>
        <w:rPr>
          <w:rFonts w:ascii="Times New Roman" w:eastAsia="仿宋_GB2312" w:hAnsi="Times New Roman" w:cs="仿宋_GB2312" w:hint="eastAsia"/>
          <w:sz w:val="32"/>
          <w:szCs w:val="32"/>
          <w:lang w:val="zh-TW" w:eastAsia="zh-TW"/>
        </w:rPr>
        <w:t>32</w:t>
      </w:r>
      <w:r>
        <w:rPr>
          <w:rFonts w:ascii="仿宋_GB2312" w:eastAsia="仿宋_GB2312" w:hAnsi="仿宋_GB2312" w:cs="仿宋_GB2312" w:hint="eastAsia"/>
          <w:sz w:val="32"/>
          <w:szCs w:val="32"/>
          <w:lang w:val="zh-TW" w:eastAsia="zh-TW"/>
        </w:rPr>
        <w:t>家、制造业单项冠军达</w:t>
      </w:r>
      <w:r>
        <w:rPr>
          <w:rFonts w:ascii="Times New Roman" w:eastAsia="仿宋_GB2312" w:hAnsi="Times New Roman" w:cs="仿宋_GB2312" w:hint="eastAsia"/>
          <w:sz w:val="32"/>
          <w:szCs w:val="32"/>
          <w:lang w:val="zh-TW" w:eastAsia="zh-TW"/>
        </w:rPr>
        <w:t>7</w:t>
      </w:r>
      <w:r>
        <w:rPr>
          <w:rFonts w:ascii="仿宋_GB2312" w:eastAsia="仿宋_GB2312" w:hAnsi="仿宋_GB2312" w:cs="仿宋_GB2312" w:hint="eastAsia"/>
          <w:sz w:val="32"/>
          <w:szCs w:val="32"/>
          <w:lang w:val="zh-TW" w:eastAsia="zh-TW"/>
        </w:rPr>
        <w:t>家。</w:t>
      </w:r>
    </w:p>
    <w:p w:rsidR="001C13F2" w:rsidRDefault="00313C68">
      <w:pPr>
        <w:spacing w:line="540" w:lineRule="exact"/>
        <w:ind w:firstLineChars="200" w:firstLine="640"/>
        <w:rPr>
          <w:rFonts w:ascii="仿宋_GB2312" w:eastAsia="仿宋_GB2312" w:hAnsi="仿宋_GB2312" w:cs="仿宋_GB2312"/>
          <w:sz w:val="32"/>
          <w:szCs w:val="32"/>
          <w:lang w:val="zh-TW" w:eastAsia="zh-TW"/>
        </w:rPr>
      </w:pPr>
      <w:r>
        <w:rPr>
          <w:rFonts w:ascii="楷体_GB2312" w:eastAsia="楷体_GB2312" w:hAnsi="楷体_GB2312" w:cs="楷体_GB2312" w:hint="eastAsia"/>
          <w:sz w:val="32"/>
          <w:szCs w:val="32"/>
          <w:lang w:val="zh-TW" w:eastAsia="zh-TW"/>
        </w:rPr>
        <w:t>三是聚焦健全保护体系，营造一流创新生态。</w:t>
      </w:r>
      <w:r>
        <w:rPr>
          <w:rFonts w:ascii="仿宋_GB2312" w:eastAsia="仿宋_GB2312" w:hAnsi="仿宋_GB2312" w:cs="仿宋_GB2312" w:hint="eastAsia"/>
          <w:sz w:val="32"/>
          <w:szCs w:val="32"/>
          <w:lang w:val="zh-TW" w:eastAsia="zh-TW"/>
        </w:rPr>
        <w:t>深化</w:t>
      </w:r>
      <w:r>
        <w:rPr>
          <w:rFonts w:ascii="仿宋_GB2312" w:eastAsia="仿宋_GB2312" w:hAnsi="仿宋_GB2312" w:cs="仿宋_GB2312" w:hint="eastAsia"/>
          <w:sz w:val="32"/>
          <w:szCs w:val="32"/>
          <w:lang w:val="zh-TW" w:eastAsia="zh-TW"/>
        </w:rPr>
        <w:t>司法与行政协同保护，完善“行政调解</w:t>
      </w:r>
      <w:r>
        <w:rPr>
          <w:rFonts w:ascii="仿宋_GB2312" w:eastAsia="仿宋_GB2312" w:hAnsi="仿宋_GB2312" w:cs="仿宋_GB2312" w:hint="eastAsia"/>
          <w:sz w:val="32"/>
          <w:szCs w:val="32"/>
          <w:lang w:val="zh-TW" w:eastAsia="zh-TW"/>
        </w:rPr>
        <w:t>+</w:t>
      </w:r>
      <w:r>
        <w:rPr>
          <w:rFonts w:ascii="仿宋_GB2312" w:eastAsia="仿宋_GB2312" w:hAnsi="仿宋_GB2312" w:cs="仿宋_GB2312" w:hint="eastAsia"/>
          <w:sz w:val="32"/>
          <w:szCs w:val="32"/>
          <w:lang w:val="zh-TW" w:eastAsia="zh-TW"/>
        </w:rPr>
        <w:t>司法确认”机制，推动知识产权纠纷案件在线调解平台与法院系统对接。融入国家“一带一路”战略布局，深化国际知识产权合作，强化海外维权服务支撑，依托国家海外知识产权纠纷应对指导分中心，为企业提供海外风险预警、侵权分析等服务。创新数据知识产权保护机制，探索构建全链条引领新模式。</w:t>
      </w:r>
    </w:p>
    <w:p w:rsidR="001C13F2" w:rsidRDefault="00313C68">
      <w:pPr>
        <w:spacing w:line="540" w:lineRule="exact"/>
        <w:ind w:firstLineChars="200" w:firstLine="640"/>
        <w:rPr>
          <w:rFonts w:ascii="仿宋_GB2312" w:eastAsia="仿宋_GB2312" w:hAnsi="仿宋_GB2312" w:cs="仿宋_GB2312"/>
          <w:sz w:val="32"/>
          <w:szCs w:val="32"/>
          <w:lang w:val="zh-TW" w:eastAsia="zh-TW"/>
        </w:rPr>
      </w:pPr>
      <w:r>
        <w:rPr>
          <w:rFonts w:ascii="楷体_GB2312" w:eastAsia="楷体_GB2312" w:hAnsi="楷体_GB2312" w:cs="楷体_GB2312" w:hint="eastAsia"/>
          <w:sz w:val="32"/>
          <w:szCs w:val="32"/>
          <w:lang w:val="zh-TW" w:eastAsia="zh-TW"/>
        </w:rPr>
        <w:t>四是聚焦促进转化运用，释放知识产权价值。</w:t>
      </w:r>
      <w:r>
        <w:rPr>
          <w:rFonts w:ascii="仿宋_GB2312" w:eastAsia="仿宋_GB2312" w:hAnsi="仿宋_GB2312" w:cs="仿宋_GB2312" w:hint="eastAsia"/>
          <w:sz w:val="32"/>
          <w:szCs w:val="32"/>
          <w:lang w:val="zh-TW" w:eastAsia="zh-TW"/>
        </w:rPr>
        <w:t>建立政府、银行、保险、担保多方联动机制，大力发展“互联网</w:t>
      </w:r>
      <w:r>
        <w:rPr>
          <w:rFonts w:ascii="仿宋_GB2312" w:eastAsia="仿宋_GB2312" w:hAnsi="仿宋_GB2312" w:cs="仿宋_GB2312" w:hint="eastAsia"/>
          <w:sz w:val="32"/>
          <w:szCs w:val="32"/>
          <w:lang w:val="zh-TW" w:eastAsia="zh-TW"/>
        </w:rPr>
        <w:t>+</w:t>
      </w:r>
      <w:r>
        <w:rPr>
          <w:rFonts w:ascii="仿宋_GB2312" w:eastAsia="仿宋_GB2312" w:hAnsi="仿宋_GB2312" w:cs="仿宋_GB2312" w:hint="eastAsia"/>
          <w:sz w:val="32"/>
          <w:szCs w:val="32"/>
          <w:lang w:val="zh-TW" w:eastAsia="zh-TW"/>
        </w:rPr>
        <w:t>知识产权</w:t>
      </w:r>
      <w:r>
        <w:rPr>
          <w:rFonts w:ascii="仿宋_GB2312" w:eastAsia="仿宋_GB2312" w:hAnsi="仿宋_GB2312" w:cs="仿宋_GB2312" w:hint="eastAsia"/>
          <w:sz w:val="32"/>
          <w:szCs w:val="32"/>
          <w:lang w:val="zh-TW" w:eastAsia="zh-TW"/>
        </w:rPr>
        <w:t>+</w:t>
      </w:r>
      <w:r>
        <w:rPr>
          <w:rFonts w:ascii="仿宋_GB2312" w:eastAsia="仿宋_GB2312" w:hAnsi="仿宋_GB2312" w:cs="仿宋_GB2312" w:hint="eastAsia"/>
          <w:sz w:val="32"/>
          <w:szCs w:val="32"/>
          <w:lang w:val="zh-TW" w:eastAsia="zh-TW"/>
        </w:rPr>
        <w:lastRenderedPageBreak/>
        <w:t>金融”平台，提升企业融资能力。完善知识产权运营体系，建设“线上</w:t>
      </w:r>
      <w:r>
        <w:rPr>
          <w:rFonts w:ascii="仿宋_GB2312" w:eastAsia="仿宋_GB2312" w:hAnsi="仿宋_GB2312" w:cs="仿宋_GB2312" w:hint="eastAsia"/>
          <w:sz w:val="32"/>
          <w:szCs w:val="32"/>
          <w:lang w:val="zh-TW" w:eastAsia="zh-TW"/>
        </w:rPr>
        <w:t>+</w:t>
      </w:r>
      <w:r>
        <w:rPr>
          <w:rFonts w:ascii="仿宋_GB2312" w:eastAsia="仿宋_GB2312" w:hAnsi="仿宋_GB2312" w:cs="仿宋_GB2312" w:hint="eastAsia"/>
          <w:sz w:val="32"/>
          <w:szCs w:val="32"/>
          <w:lang w:val="zh-TW" w:eastAsia="zh-TW"/>
        </w:rPr>
        <w:t>线下”知识产权交易平台，整合专利</w:t>
      </w:r>
      <w:r>
        <w:rPr>
          <w:rFonts w:ascii="仿宋_GB2312" w:eastAsia="仿宋_GB2312" w:hAnsi="仿宋_GB2312" w:cs="仿宋_GB2312" w:hint="eastAsia"/>
          <w:sz w:val="32"/>
          <w:szCs w:val="32"/>
          <w:lang w:val="zh-TW" w:eastAsia="zh-TW"/>
        </w:rPr>
        <w:t>、商标、地理标志等交易资源。推动地理标志价值释放，实施“地理标志</w:t>
      </w:r>
      <w:r>
        <w:rPr>
          <w:rFonts w:ascii="仿宋_GB2312" w:eastAsia="仿宋_GB2312" w:hAnsi="仿宋_GB2312" w:cs="仿宋_GB2312" w:hint="eastAsia"/>
          <w:sz w:val="32"/>
          <w:szCs w:val="32"/>
          <w:lang w:val="zh-TW" w:eastAsia="zh-TW"/>
        </w:rPr>
        <w:t>+</w:t>
      </w:r>
      <w:r>
        <w:rPr>
          <w:rFonts w:ascii="仿宋_GB2312" w:eastAsia="仿宋_GB2312" w:hAnsi="仿宋_GB2312" w:cs="仿宋_GB2312" w:hint="eastAsia"/>
          <w:sz w:val="32"/>
          <w:szCs w:val="32"/>
          <w:lang w:val="zh-TW" w:eastAsia="zh-TW"/>
        </w:rPr>
        <w:t>电商”战略，推动更多特色农产品申报地理标志商标，助力乡村振兴。</w:t>
      </w:r>
    </w:p>
    <w:p w:rsidR="001C13F2" w:rsidRDefault="00313C68">
      <w:pPr>
        <w:spacing w:line="540" w:lineRule="exact"/>
        <w:ind w:firstLineChars="200" w:firstLine="640"/>
        <w:rPr>
          <w:rFonts w:ascii="仿宋_GB2312" w:eastAsia="仿宋_GB2312" w:hAnsi="仿宋_GB2312" w:cs="仿宋_GB2312"/>
          <w:sz w:val="32"/>
          <w:szCs w:val="32"/>
          <w:lang w:val="zh-TW" w:eastAsia="zh-TW"/>
        </w:rPr>
      </w:pPr>
      <w:r>
        <w:rPr>
          <w:rFonts w:ascii="楷体_GB2312" w:eastAsia="楷体_GB2312" w:hAnsi="楷体_GB2312" w:cs="楷体_GB2312" w:hint="eastAsia"/>
          <w:sz w:val="32"/>
          <w:szCs w:val="32"/>
          <w:lang w:val="zh-TW" w:eastAsia="zh-TW"/>
        </w:rPr>
        <w:t>五是聚焦深化服务生态，提升公共服务效能。</w:t>
      </w:r>
      <w:r>
        <w:rPr>
          <w:rFonts w:ascii="仿宋_GB2312" w:eastAsia="仿宋_GB2312" w:hAnsi="仿宋_GB2312" w:cs="仿宋_GB2312" w:hint="eastAsia"/>
          <w:sz w:val="32"/>
          <w:szCs w:val="32"/>
          <w:lang w:val="zh-TW" w:eastAsia="zh-TW"/>
        </w:rPr>
        <w:t>提升公共服务效能，建设知识产权大数据平台，实现县（区）级公共服务网点全覆盖。培育高端服务机构，支持国际化知识产权服务机构在自贸区设立分支机构，推进知识产权服务业集聚区建设。</w:t>
      </w:r>
    </w:p>
    <w:p w:rsidR="001C13F2" w:rsidRDefault="001C13F2">
      <w:pPr>
        <w:spacing w:line="540" w:lineRule="exact"/>
        <w:ind w:firstLineChars="200" w:firstLine="640"/>
        <w:jc w:val="right"/>
        <w:rPr>
          <w:rFonts w:ascii="仿宋_GB2312" w:eastAsia="仿宋_GB2312" w:hAnsi="仿宋_GB2312" w:cs="仿宋_GB2312"/>
          <w:sz w:val="32"/>
          <w:szCs w:val="32"/>
        </w:rPr>
      </w:pPr>
    </w:p>
    <w:p w:rsidR="001C13F2" w:rsidRDefault="001C13F2">
      <w:pPr>
        <w:spacing w:line="540" w:lineRule="exact"/>
        <w:ind w:firstLineChars="200" w:firstLine="640"/>
        <w:jc w:val="right"/>
        <w:rPr>
          <w:rFonts w:ascii="仿宋_GB2312" w:eastAsia="仿宋_GB2312" w:hAnsi="仿宋_GB2312" w:cs="仿宋_GB2312"/>
          <w:sz w:val="32"/>
          <w:szCs w:val="32"/>
        </w:rPr>
      </w:pPr>
      <w:bookmarkStart w:id="0" w:name="_GoBack"/>
      <w:bookmarkEnd w:id="0"/>
    </w:p>
    <w:p w:rsidR="001C13F2" w:rsidRDefault="00313C68">
      <w:pPr>
        <w:wordWrap w:val="0"/>
        <w:spacing w:line="54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连云港市市场监督管理局</w:t>
      </w:r>
      <w:r>
        <w:rPr>
          <w:rFonts w:ascii="仿宋_GB2312" w:eastAsia="仿宋_GB2312" w:hAnsi="仿宋_GB2312" w:cs="仿宋_GB2312" w:hint="eastAsia"/>
          <w:sz w:val="32"/>
          <w:szCs w:val="32"/>
        </w:rPr>
        <w:t xml:space="preserve">    </w:t>
      </w:r>
    </w:p>
    <w:p w:rsidR="001C13F2" w:rsidRDefault="00313C68">
      <w:pPr>
        <w:wordWrap w:val="0"/>
        <w:spacing w:line="540" w:lineRule="exact"/>
        <w:ind w:firstLineChars="200" w:firstLine="640"/>
        <w:jc w:val="right"/>
        <w:rPr>
          <w:rFonts w:ascii="仿宋_GB2312" w:eastAsia="仿宋_GB2312" w:hAnsi="仿宋_GB2312" w:cs="仿宋_GB2312"/>
          <w:sz w:val="32"/>
          <w:szCs w:val="32"/>
        </w:rPr>
      </w:pP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7</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14</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w:t>
      </w:r>
    </w:p>
    <w:p w:rsidR="001C13F2" w:rsidRDefault="001C13F2">
      <w:pPr>
        <w:spacing w:line="560" w:lineRule="exact"/>
        <w:rPr>
          <w:rFonts w:ascii="仿宋_GB2312" w:eastAsia="仿宋_GB2312" w:hAnsi="仿宋_GB2312" w:cs="仿宋_GB2312"/>
          <w:color w:val="000000"/>
          <w:sz w:val="32"/>
          <w:szCs w:val="32"/>
        </w:rPr>
      </w:pPr>
    </w:p>
    <w:p w:rsidR="001C13F2" w:rsidRDefault="00313C68">
      <w:pPr>
        <w:spacing w:line="56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联</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系</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人：</w:t>
      </w:r>
      <w:r>
        <w:rPr>
          <w:rFonts w:ascii="仿宋_GB2312" w:eastAsia="仿宋_GB2312" w:hAnsi="仿宋_GB2312" w:cs="仿宋_GB2312" w:hint="eastAsia"/>
          <w:color w:val="000000"/>
          <w:sz w:val="32"/>
          <w:szCs w:val="32"/>
        </w:rPr>
        <w:t>朱昌伟</w:t>
      </w:r>
    </w:p>
    <w:p w:rsidR="001C13F2" w:rsidRDefault="00313C68">
      <w:pPr>
        <w:spacing w:line="560" w:lineRule="exact"/>
        <w:rPr>
          <w:rFonts w:ascii="Times New Roman" w:eastAsia="仿宋_GB2312" w:hAnsi="Times New Roman" w:cs="Times New Roman"/>
          <w:sz w:val="32"/>
          <w:szCs w:val="32"/>
        </w:rPr>
      </w:pPr>
      <w:r>
        <w:rPr>
          <w:rFonts w:ascii="仿宋_GB2312" w:eastAsia="仿宋_GB2312" w:hAnsi="仿宋_GB2312" w:cs="仿宋_GB2312" w:hint="eastAsia"/>
          <w:color w:val="000000"/>
          <w:sz w:val="32"/>
          <w:szCs w:val="32"/>
        </w:rPr>
        <w:t>联系电话：</w:t>
      </w:r>
      <w:r>
        <w:rPr>
          <w:rFonts w:ascii="Times New Roman" w:eastAsia="仿宋_GB2312" w:hAnsi="Times New Roman" w:cs="仿宋_GB2312" w:hint="eastAsia"/>
          <w:color w:val="000000"/>
          <w:sz w:val="32"/>
          <w:szCs w:val="32"/>
        </w:rPr>
        <w:t>18905131999</w:t>
      </w:r>
    </w:p>
    <w:sectPr w:rsidR="001C13F2" w:rsidSect="001C13F2">
      <w:footerReference w:type="default" r:id="rId7"/>
      <w:pgSz w:w="11906" w:h="16838"/>
      <w:pgMar w:top="1985" w:right="1474" w:bottom="1871"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C68" w:rsidRDefault="00313C68" w:rsidP="001C13F2">
      <w:r>
        <w:separator/>
      </w:r>
    </w:p>
  </w:endnote>
  <w:endnote w:type="continuationSeparator" w:id="1">
    <w:p w:rsidR="00313C68" w:rsidRDefault="00313C68" w:rsidP="001C13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embedRegular r:id="rId1" w:subsetted="1" w:fontKey="{733CF07E-EFB2-41AE-B70D-203E644F4444}"/>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A26A3554-8188-424A-9F08-C0CA469D6562}"/>
    <w:embedBold r:id="rId3" w:subsetted="1" w:fontKey="{B922892A-CB24-45CB-9E21-E1FE4E9B0282}"/>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4" w:subsetted="1" w:fontKey="{3B66F518-0B11-41A1-99E3-0BA70DFD182E}"/>
  </w:font>
  <w:font w:name="黑体">
    <w:altName w:val="SimHei"/>
    <w:panose1 w:val="02010609060101010101"/>
    <w:charset w:val="86"/>
    <w:family w:val="modern"/>
    <w:pitch w:val="fixed"/>
    <w:sig w:usb0="800002BF" w:usb1="38CF7CFA" w:usb2="00000016" w:usb3="00000000" w:csb0="00040001" w:csb1="00000000"/>
    <w:embedRegular r:id="rId5" w:subsetted="1" w:fontKey="{B87D11E2-1076-422E-B31B-903D48E8388F}"/>
  </w:font>
  <w:font w:name="楷体_GB2312">
    <w:panose1 w:val="02010609030101010101"/>
    <w:charset w:val="86"/>
    <w:family w:val="modern"/>
    <w:pitch w:val="fixed"/>
    <w:sig w:usb0="00000001" w:usb1="080E0000" w:usb2="00000010" w:usb3="00000000" w:csb0="00040000" w:csb1="00000000"/>
    <w:embedRegular r:id="rId6" w:subsetted="1" w:fontKey="{2B14AF61-1B73-4FD4-815E-072A3300FB8B}"/>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3F2" w:rsidRDefault="001C13F2">
    <w:pPr>
      <w:pStyle w:val="a7"/>
      <w:jc w:val="center"/>
      <w:rPr>
        <w:sz w:val="28"/>
        <w:szCs w:val="28"/>
      </w:rPr>
    </w:pPr>
    <w:r w:rsidRPr="001C13F2">
      <w:rPr>
        <w:sz w:val="28"/>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1C13F2" w:rsidRDefault="00313C68">
                <w:pPr>
                  <w:pStyle w:val="a7"/>
                  <w:rPr>
                    <w:rFonts w:ascii="Times New Roman" w:hAnsi="Times New Roman" w:cs="Times New Roman"/>
                    <w:sz w:val="28"/>
                    <w:szCs w:val="28"/>
                  </w:rPr>
                </w:pPr>
                <w:r>
                  <w:rPr>
                    <w:rFonts w:ascii="Times New Roman" w:hAnsi="Times New Roman" w:cs="Times New Roman"/>
                    <w:sz w:val="28"/>
                    <w:szCs w:val="28"/>
                  </w:rPr>
                  <w:t xml:space="preserve">— </w:t>
                </w:r>
                <w:r w:rsidR="001C13F2">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1C13F2">
                  <w:rPr>
                    <w:rFonts w:ascii="Times New Roman" w:hAnsi="Times New Roman" w:cs="Times New Roman"/>
                    <w:sz w:val="28"/>
                    <w:szCs w:val="28"/>
                  </w:rPr>
                  <w:fldChar w:fldCharType="separate"/>
                </w:r>
                <w:r w:rsidR="003260FA">
                  <w:rPr>
                    <w:rFonts w:ascii="Times New Roman" w:hAnsi="Times New Roman" w:cs="Times New Roman"/>
                    <w:noProof/>
                    <w:sz w:val="28"/>
                    <w:szCs w:val="28"/>
                  </w:rPr>
                  <w:t>7</w:t>
                </w:r>
                <w:r w:rsidR="001C13F2">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sdt>
      <w:sdtPr>
        <w:rPr>
          <w:sz w:val="28"/>
          <w:szCs w:val="28"/>
        </w:rPr>
        <w:id w:val="1775518375"/>
      </w:sdtPr>
      <w:sdtContent/>
    </w:sdt>
  </w:p>
  <w:p w:rsidR="001C13F2" w:rsidRDefault="001C13F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C68" w:rsidRDefault="00313C68" w:rsidP="001C13F2">
      <w:r>
        <w:separator/>
      </w:r>
    </w:p>
  </w:footnote>
  <w:footnote w:type="continuationSeparator" w:id="1">
    <w:p w:rsidR="00313C68" w:rsidRDefault="00313C68" w:rsidP="001C13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TrueTypeFonts/>
  <w:saveSubsetFonts/>
  <w:defaultTabStop w:val="420"/>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IyMjMyYTk3ZWJmMWZjYzVjMGM0NjJhMzAzMzBhYTkifQ=="/>
  </w:docVars>
  <w:rsids>
    <w:rsidRoot w:val="00827411"/>
    <w:rsid w:val="00002AB6"/>
    <w:rsid w:val="000229DE"/>
    <w:rsid w:val="00034DE6"/>
    <w:rsid w:val="00037FB2"/>
    <w:rsid w:val="00072C75"/>
    <w:rsid w:val="000747B0"/>
    <w:rsid w:val="00083C5E"/>
    <w:rsid w:val="000D2083"/>
    <w:rsid w:val="000F143D"/>
    <w:rsid w:val="00155835"/>
    <w:rsid w:val="001761B3"/>
    <w:rsid w:val="001A184C"/>
    <w:rsid w:val="001A1ED6"/>
    <w:rsid w:val="001C13F2"/>
    <w:rsid w:val="002345FF"/>
    <w:rsid w:val="00242719"/>
    <w:rsid w:val="00265F12"/>
    <w:rsid w:val="0028758D"/>
    <w:rsid w:val="002D10E6"/>
    <w:rsid w:val="0030451F"/>
    <w:rsid w:val="00313C68"/>
    <w:rsid w:val="003206C3"/>
    <w:rsid w:val="003260FA"/>
    <w:rsid w:val="00347B26"/>
    <w:rsid w:val="00392D5F"/>
    <w:rsid w:val="003A2130"/>
    <w:rsid w:val="00446C85"/>
    <w:rsid w:val="00487E7D"/>
    <w:rsid w:val="004B5A85"/>
    <w:rsid w:val="004B5D73"/>
    <w:rsid w:val="00504CF3"/>
    <w:rsid w:val="00596936"/>
    <w:rsid w:val="005A612F"/>
    <w:rsid w:val="005F3C6B"/>
    <w:rsid w:val="00610EBD"/>
    <w:rsid w:val="00625DE8"/>
    <w:rsid w:val="006449D7"/>
    <w:rsid w:val="006548CC"/>
    <w:rsid w:val="0066259A"/>
    <w:rsid w:val="006B41FC"/>
    <w:rsid w:val="006C107C"/>
    <w:rsid w:val="006D4DBD"/>
    <w:rsid w:val="0073044F"/>
    <w:rsid w:val="00760C5C"/>
    <w:rsid w:val="007846DA"/>
    <w:rsid w:val="00827411"/>
    <w:rsid w:val="00827415"/>
    <w:rsid w:val="0085342F"/>
    <w:rsid w:val="00877016"/>
    <w:rsid w:val="00881D51"/>
    <w:rsid w:val="008878D6"/>
    <w:rsid w:val="008C115E"/>
    <w:rsid w:val="009162EB"/>
    <w:rsid w:val="00931FF4"/>
    <w:rsid w:val="00950958"/>
    <w:rsid w:val="0097073D"/>
    <w:rsid w:val="009C0ED9"/>
    <w:rsid w:val="009C595B"/>
    <w:rsid w:val="009D16B9"/>
    <w:rsid w:val="009D254A"/>
    <w:rsid w:val="009D6FD2"/>
    <w:rsid w:val="009E797B"/>
    <w:rsid w:val="00A16E2C"/>
    <w:rsid w:val="00A32DD8"/>
    <w:rsid w:val="00A43A3C"/>
    <w:rsid w:val="00A44116"/>
    <w:rsid w:val="00B21762"/>
    <w:rsid w:val="00B5605D"/>
    <w:rsid w:val="00B66120"/>
    <w:rsid w:val="00BA70AA"/>
    <w:rsid w:val="00BF1948"/>
    <w:rsid w:val="00BF666A"/>
    <w:rsid w:val="00C0725B"/>
    <w:rsid w:val="00C10E2F"/>
    <w:rsid w:val="00C12D53"/>
    <w:rsid w:val="00C138C4"/>
    <w:rsid w:val="00C13C99"/>
    <w:rsid w:val="00C4020B"/>
    <w:rsid w:val="00C74971"/>
    <w:rsid w:val="00CF4EC6"/>
    <w:rsid w:val="00CF6A0C"/>
    <w:rsid w:val="00D534FA"/>
    <w:rsid w:val="00D77A45"/>
    <w:rsid w:val="00D80DE5"/>
    <w:rsid w:val="00DA6CD6"/>
    <w:rsid w:val="00DD43D7"/>
    <w:rsid w:val="00DF38CF"/>
    <w:rsid w:val="00E17700"/>
    <w:rsid w:val="00E95986"/>
    <w:rsid w:val="00EB0451"/>
    <w:rsid w:val="00EB37AF"/>
    <w:rsid w:val="00EC0A8B"/>
    <w:rsid w:val="00EC4635"/>
    <w:rsid w:val="00ED2975"/>
    <w:rsid w:val="00F0361B"/>
    <w:rsid w:val="00F3048F"/>
    <w:rsid w:val="00F62A28"/>
    <w:rsid w:val="00F821FB"/>
    <w:rsid w:val="00F93B9A"/>
    <w:rsid w:val="00FC225C"/>
    <w:rsid w:val="00FE22DB"/>
    <w:rsid w:val="0D812B69"/>
    <w:rsid w:val="113B1490"/>
    <w:rsid w:val="16347E4F"/>
    <w:rsid w:val="1DEE0CA9"/>
    <w:rsid w:val="209B3D66"/>
    <w:rsid w:val="2214688B"/>
    <w:rsid w:val="25D433CD"/>
    <w:rsid w:val="27EB7C82"/>
    <w:rsid w:val="2A520B9A"/>
    <w:rsid w:val="2A9245AE"/>
    <w:rsid w:val="2B625CCE"/>
    <w:rsid w:val="2BDC5041"/>
    <w:rsid w:val="2CA52D4B"/>
    <w:rsid w:val="2DD7148A"/>
    <w:rsid w:val="2EAC37A0"/>
    <w:rsid w:val="3110750F"/>
    <w:rsid w:val="37280CE0"/>
    <w:rsid w:val="3A127BD2"/>
    <w:rsid w:val="3D2832C7"/>
    <w:rsid w:val="3E462E6E"/>
    <w:rsid w:val="3ED44393"/>
    <w:rsid w:val="3FEF0672"/>
    <w:rsid w:val="45F45F7D"/>
    <w:rsid w:val="45FC3C92"/>
    <w:rsid w:val="495B3476"/>
    <w:rsid w:val="4B642CC3"/>
    <w:rsid w:val="52977163"/>
    <w:rsid w:val="578F7356"/>
    <w:rsid w:val="59FB381C"/>
    <w:rsid w:val="5AC27BC1"/>
    <w:rsid w:val="5D5766B6"/>
    <w:rsid w:val="5FC01197"/>
    <w:rsid w:val="64B82DC0"/>
    <w:rsid w:val="65C86549"/>
    <w:rsid w:val="6722119D"/>
    <w:rsid w:val="6B0B6A4F"/>
    <w:rsid w:val="6E01311F"/>
    <w:rsid w:val="6F276355"/>
    <w:rsid w:val="7319454A"/>
    <w:rsid w:val="76FA7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1C13F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1C13F2"/>
    <w:pPr>
      <w:jc w:val="left"/>
    </w:pPr>
  </w:style>
  <w:style w:type="paragraph" w:styleId="a4">
    <w:name w:val="Body Text"/>
    <w:basedOn w:val="a"/>
    <w:next w:val="a"/>
    <w:qFormat/>
    <w:rsid w:val="001C13F2"/>
    <w:pPr>
      <w:spacing w:after="120"/>
    </w:pPr>
  </w:style>
  <w:style w:type="paragraph" w:styleId="a5">
    <w:name w:val="Date"/>
    <w:basedOn w:val="a"/>
    <w:next w:val="a"/>
    <w:link w:val="Char0"/>
    <w:uiPriority w:val="99"/>
    <w:semiHidden/>
    <w:unhideWhenUsed/>
    <w:qFormat/>
    <w:rsid w:val="001C13F2"/>
    <w:pPr>
      <w:ind w:leftChars="2500" w:left="100"/>
    </w:pPr>
  </w:style>
  <w:style w:type="paragraph" w:styleId="a6">
    <w:name w:val="Balloon Text"/>
    <w:basedOn w:val="a"/>
    <w:link w:val="Char1"/>
    <w:uiPriority w:val="99"/>
    <w:semiHidden/>
    <w:unhideWhenUsed/>
    <w:qFormat/>
    <w:rsid w:val="001C13F2"/>
    <w:rPr>
      <w:sz w:val="18"/>
      <w:szCs w:val="18"/>
    </w:rPr>
  </w:style>
  <w:style w:type="paragraph" w:styleId="a7">
    <w:name w:val="footer"/>
    <w:basedOn w:val="a"/>
    <w:link w:val="Char2"/>
    <w:autoRedefine/>
    <w:uiPriority w:val="99"/>
    <w:unhideWhenUsed/>
    <w:qFormat/>
    <w:rsid w:val="001C13F2"/>
    <w:pPr>
      <w:tabs>
        <w:tab w:val="center" w:pos="4153"/>
        <w:tab w:val="right" w:pos="8306"/>
      </w:tabs>
      <w:snapToGrid w:val="0"/>
      <w:jc w:val="left"/>
    </w:pPr>
    <w:rPr>
      <w:sz w:val="18"/>
      <w:szCs w:val="18"/>
    </w:rPr>
  </w:style>
  <w:style w:type="paragraph" w:styleId="a8">
    <w:name w:val="header"/>
    <w:basedOn w:val="a"/>
    <w:link w:val="Char3"/>
    <w:autoRedefine/>
    <w:uiPriority w:val="99"/>
    <w:unhideWhenUsed/>
    <w:qFormat/>
    <w:rsid w:val="001C13F2"/>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sid w:val="001C13F2"/>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BodyTextIndent1"/>
    <w:qFormat/>
    <w:rsid w:val="001C13F2"/>
    <w:pPr>
      <w:spacing w:before="240" w:after="60"/>
      <w:jc w:val="center"/>
      <w:outlineLvl w:val="0"/>
    </w:pPr>
    <w:rPr>
      <w:rFonts w:ascii="Arial" w:eastAsia="仿宋" w:hAnsi="Arial" w:cs="Times New Roman"/>
      <w:b/>
      <w:sz w:val="32"/>
      <w:szCs w:val="32"/>
    </w:rPr>
  </w:style>
  <w:style w:type="paragraph" w:customStyle="1" w:styleId="BodyTextIndent1">
    <w:name w:val="Body Text Indent1"/>
    <w:basedOn w:val="a"/>
    <w:uiPriority w:val="99"/>
    <w:qFormat/>
    <w:rsid w:val="001C13F2"/>
    <w:pPr>
      <w:spacing w:after="120"/>
      <w:ind w:leftChars="200" w:left="420"/>
    </w:pPr>
  </w:style>
  <w:style w:type="paragraph" w:styleId="ab">
    <w:name w:val="annotation subject"/>
    <w:basedOn w:val="a3"/>
    <w:next w:val="a3"/>
    <w:link w:val="Char4"/>
    <w:uiPriority w:val="99"/>
    <w:semiHidden/>
    <w:unhideWhenUsed/>
    <w:qFormat/>
    <w:rsid w:val="001C13F2"/>
    <w:rPr>
      <w:b/>
      <w:bCs/>
    </w:rPr>
  </w:style>
  <w:style w:type="table" w:styleId="ac">
    <w:name w:val="Table Grid"/>
    <w:basedOn w:val="a1"/>
    <w:autoRedefine/>
    <w:uiPriority w:val="39"/>
    <w:qFormat/>
    <w:rsid w:val="001C13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rsid w:val="001C13F2"/>
  </w:style>
  <w:style w:type="character" w:styleId="ae">
    <w:name w:val="Hyperlink"/>
    <w:basedOn w:val="a0"/>
    <w:uiPriority w:val="99"/>
    <w:semiHidden/>
    <w:unhideWhenUsed/>
    <w:qFormat/>
    <w:rsid w:val="001C13F2"/>
    <w:rPr>
      <w:color w:val="0000FF"/>
      <w:u w:val="single"/>
    </w:rPr>
  </w:style>
  <w:style w:type="character" w:styleId="af">
    <w:name w:val="annotation reference"/>
    <w:basedOn w:val="a0"/>
    <w:uiPriority w:val="99"/>
    <w:semiHidden/>
    <w:unhideWhenUsed/>
    <w:qFormat/>
    <w:rsid w:val="001C13F2"/>
    <w:rPr>
      <w:sz w:val="21"/>
      <w:szCs w:val="21"/>
    </w:rPr>
  </w:style>
  <w:style w:type="paragraph" w:styleId="af0">
    <w:name w:val="List Paragraph"/>
    <w:basedOn w:val="a"/>
    <w:autoRedefine/>
    <w:uiPriority w:val="34"/>
    <w:qFormat/>
    <w:rsid w:val="001C13F2"/>
    <w:pPr>
      <w:ind w:firstLineChars="200" w:firstLine="420"/>
    </w:pPr>
  </w:style>
  <w:style w:type="character" w:customStyle="1" w:styleId="Char3">
    <w:name w:val="页眉 Char"/>
    <w:basedOn w:val="a0"/>
    <w:link w:val="a8"/>
    <w:autoRedefine/>
    <w:uiPriority w:val="99"/>
    <w:qFormat/>
    <w:rsid w:val="001C13F2"/>
    <w:rPr>
      <w:sz w:val="18"/>
      <w:szCs w:val="18"/>
    </w:rPr>
  </w:style>
  <w:style w:type="character" w:customStyle="1" w:styleId="Char2">
    <w:name w:val="页脚 Char"/>
    <w:basedOn w:val="a0"/>
    <w:link w:val="a7"/>
    <w:autoRedefine/>
    <w:uiPriority w:val="99"/>
    <w:qFormat/>
    <w:rsid w:val="001C13F2"/>
    <w:rPr>
      <w:sz w:val="18"/>
      <w:szCs w:val="18"/>
    </w:rPr>
  </w:style>
  <w:style w:type="character" w:customStyle="1" w:styleId="Char">
    <w:name w:val="批注文字 Char"/>
    <w:basedOn w:val="a0"/>
    <w:link w:val="a3"/>
    <w:uiPriority w:val="99"/>
    <w:semiHidden/>
    <w:qFormat/>
    <w:rsid w:val="001C13F2"/>
  </w:style>
  <w:style w:type="character" w:customStyle="1" w:styleId="Char4">
    <w:name w:val="批注主题 Char"/>
    <w:basedOn w:val="Char"/>
    <w:link w:val="ab"/>
    <w:uiPriority w:val="99"/>
    <w:semiHidden/>
    <w:qFormat/>
    <w:rsid w:val="001C13F2"/>
    <w:rPr>
      <w:b/>
      <w:bCs/>
    </w:rPr>
  </w:style>
  <w:style w:type="character" w:customStyle="1" w:styleId="Char1">
    <w:name w:val="批注框文本 Char"/>
    <w:basedOn w:val="a0"/>
    <w:link w:val="a6"/>
    <w:uiPriority w:val="99"/>
    <w:semiHidden/>
    <w:qFormat/>
    <w:rsid w:val="001C13F2"/>
    <w:rPr>
      <w:sz w:val="18"/>
      <w:szCs w:val="18"/>
    </w:rPr>
  </w:style>
  <w:style w:type="character" w:customStyle="1" w:styleId="Char0">
    <w:name w:val="日期 Char"/>
    <w:basedOn w:val="a0"/>
    <w:link w:val="a5"/>
    <w:uiPriority w:val="99"/>
    <w:semiHidden/>
    <w:qFormat/>
    <w:rsid w:val="001C13F2"/>
  </w:style>
  <w:style w:type="character" w:customStyle="1" w:styleId="font11">
    <w:name w:val="font11"/>
    <w:basedOn w:val="a0"/>
    <w:qFormat/>
    <w:rsid w:val="001C13F2"/>
    <w:rPr>
      <w:rFonts w:ascii="宋体" w:eastAsia="宋体" w:hAnsi="宋体" w:cs="宋体" w:hint="eastAsia"/>
      <w:color w:val="FF0000"/>
      <w:sz w:val="22"/>
      <w:szCs w:val="22"/>
      <w:u w:val="none"/>
    </w:rPr>
  </w:style>
  <w:style w:type="paragraph" w:customStyle="1" w:styleId="1">
    <w:name w:val="正文1"/>
    <w:qFormat/>
    <w:rsid w:val="001C13F2"/>
    <w:pPr>
      <w:jc w:val="both"/>
    </w:pPr>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605</Words>
  <Characters>3450</Characters>
  <Application>Microsoft Office Word</Application>
  <DocSecurity>0</DocSecurity>
  <Lines>28</Lines>
  <Paragraphs>8</Paragraphs>
  <ScaleCrop>false</ScaleCrop>
  <Company>Microsoft</Company>
  <LinksUpToDate>false</LinksUpToDate>
  <CharactersWithSpaces>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924415957@qq.com</dc:creator>
  <cp:lastModifiedBy>PC</cp:lastModifiedBy>
  <cp:revision>39</cp:revision>
  <cp:lastPrinted>2021-05-11T03:04:00Z</cp:lastPrinted>
  <dcterms:created xsi:type="dcterms:W3CDTF">2020-04-22T00:55:00Z</dcterms:created>
  <dcterms:modified xsi:type="dcterms:W3CDTF">2026-08-19T08:50:00Z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8B529614F8A04BCB8CB1429FEB99B6FA_13</vt:lpwstr>
  </property>
  <property fmtid="{D5CDD505-2E9C-101B-9397-08002B2CF9AE}" pid="4" name="KSOTemplateDocerSaveRecord">
    <vt:lpwstr>eyJoZGlkIjoiNDIyMjMyYTk3ZWJmMWZjYzVjMGM0NjJhMzAzMzBhYTkiLCJ1c2VySWQiOiI0NDg2OTc1MDIifQ==</vt:lpwstr>
  </property>
</Properties>
</file>