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464FC">
      <w:pPr>
        <w:ind w:firstLine="0"/>
        <w:jc w:val="center"/>
        <w:rPr>
          <w:rFonts w:hint="eastAsia" w:ascii="宋体" w:hAnsi="宋体" w:eastAsia="宋体" w:cs="宋体"/>
          <w:bCs/>
          <w:sz w:val="44"/>
          <w:szCs w:val="44"/>
        </w:rPr>
      </w:pPr>
    </w:p>
    <w:p w14:paraId="5EC76E98">
      <w:pPr>
        <w:spacing w:line="500" w:lineRule="exact"/>
        <w:ind w:firstLine="0"/>
        <w:jc w:val="center"/>
        <w:rPr>
          <w:rFonts w:hint="eastAsia" w:ascii="宋体" w:hAnsi="宋体" w:eastAsia="宋体" w:cs="宋体"/>
          <w:bCs/>
          <w:sz w:val="44"/>
          <w:szCs w:val="44"/>
        </w:rPr>
      </w:pPr>
      <w:r>
        <w:rPr>
          <w:rFonts w:hint="eastAsia" w:ascii="宋体" w:hAnsi="宋体" w:eastAsia="宋体" w:cs="宋体"/>
          <w:bCs/>
          <w:sz w:val="44"/>
          <w:szCs w:val="44"/>
        </w:rPr>
        <w:t>关于印发《连云港市市场监管领域轻微违法行为</w:t>
      </w:r>
    </w:p>
    <w:p w14:paraId="484DD76F">
      <w:pPr>
        <w:spacing w:line="500" w:lineRule="exact"/>
        <w:ind w:firstLine="0"/>
        <w:jc w:val="center"/>
        <w:rPr>
          <w:rFonts w:hint="eastAsia" w:ascii="宋体" w:hAnsi="宋体" w:eastAsia="宋体" w:cs="宋体"/>
          <w:bCs/>
          <w:sz w:val="44"/>
          <w:szCs w:val="44"/>
        </w:rPr>
      </w:pPr>
      <w:r>
        <w:rPr>
          <w:rFonts w:hint="eastAsia" w:ascii="宋体" w:hAnsi="宋体" w:eastAsia="宋体" w:cs="宋体"/>
          <w:bCs/>
          <w:sz w:val="44"/>
          <w:szCs w:val="44"/>
        </w:rPr>
        <w:t>从轻处罚、减轻处罚、不予处罚、不予强制</w:t>
      </w:r>
    </w:p>
    <w:p w14:paraId="0BF9D799">
      <w:pPr>
        <w:spacing w:line="500" w:lineRule="exact"/>
        <w:ind w:firstLine="0"/>
        <w:jc w:val="center"/>
        <w:rPr>
          <w:rFonts w:hint="eastAsia" w:ascii="宋体" w:hAnsi="宋体" w:eastAsia="宋体" w:cs="宋体"/>
          <w:bCs/>
          <w:sz w:val="44"/>
          <w:szCs w:val="44"/>
        </w:rPr>
      </w:pPr>
      <w:r>
        <w:rPr>
          <w:rFonts w:hint="eastAsia" w:ascii="宋体" w:hAnsi="宋体" w:eastAsia="宋体" w:cs="宋体"/>
          <w:bCs/>
          <w:sz w:val="44"/>
          <w:szCs w:val="44"/>
        </w:rPr>
        <w:t>实施办法》的通知</w:t>
      </w:r>
    </w:p>
    <w:p w14:paraId="341382C0">
      <w:pPr>
        <w:spacing w:line="560" w:lineRule="exact"/>
        <w:jc w:val="center"/>
        <w:rPr>
          <w:rFonts w:ascii="宋体"/>
          <w:sz w:val="44"/>
          <w:szCs w:val="44"/>
        </w:rPr>
      </w:pPr>
      <w:r>
        <w:rPr>
          <w:rFonts w:hint="eastAsia" w:ascii="楷体_GB2312" w:hAnsi="楷体_GB2312" w:eastAsia="楷体_GB2312" w:cs="楷体_GB2312"/>
          <w:sz w:val="32"/>
          <w:szCs w:val="32"/>
        </w:rPr>
        <w:t>连市监规〔2025〕1号</w:t>
      </w:r>
    </w:p>
    <w:p w14:paraId="787C5F78">
      <w:pPr>
        <w:spacing w:line="400" w:lineRule="exact"/>
        <w:rPr>
          <w:sz w:val="44"/>
          <w:szCs w:val="44"/>
        </w:rPr>
      </w:pPr>
    </w:p>
    <w:p w14:paraId="0A444846">
      <w:pPr>
        <w:ind w:firstLine="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各县区市场监管局，市开发区、徐圩新区市场监管局，局机关各处室、直属事业单位、社会团体：</w:t>
      </w:r>
    </w:p>
    <w:p w14:paraId="38CBFDC7">
      <w:pPr>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《连云港市市场监管领域轻微违法行为从轻处罚、减轻处罚、不予处罚、不予强制实施办法》已经市局局长办公会审议通过，现予印发，请遵照执行。</w:t>
      </w:r>
    </w:p>
    <w:p w14:paraId="300F75E5">
      <w:pPr>
        <w:spacing w:line="560" w:lineRule="exact"/>
        <w:rPr>
          <w:rFonts w:hint="eastAsia" w:ascii="仿宋_GB2312" w:hAnsi="仿宋_GB2312" w:eastAsia="仿宋_GB2312" w:cs="仿宋_GB2312"/>
          <w:szCs w:val="32"/>
        </w:rPr>
      </w:pPr>
    </w:p>
    <w:p w14:paraId="41181483">
      <w:pPr>
        <w:spacing w:line="560" w:lineRule="exact"/>
        <w:ind w:firstLine="5120" w:firstLineChars="1600"/>
        <w:rPr>
          <w:rFonts w:hint="eastAsia" w:ascii="仿宋_GB2312" w:hAnsi="仿宋_GB2312" w:eastAsia="仿宋_GB2312" w:cs="仿宋_GB2312"/>
          <w:szCs w:val="32"/>
        </w:rPr>
      </w:pPr>
      <w:r>
        <w:rPr>
          <w:rFonts w:hint="eastAsia" w:ascii="仿宋_GB2312" w:hAnsi="仿宋_GB2312" w:eastAsia="仿宋_GB2312" w:cs="仿宋_GB2312"/>
          <w:szCs w:val="32"/>
        </w:rPr>
        <w:t>连云港市市场监督管理局</w:t>
      </w:r>
    </w:p>
    <w:p w14:paraId="5341A936">
      <w:pPr>
        <w:spacing w:line="560" w:lineRule="exact"/>
        <w:ind w:firstLine="5760" w:firstLineChars="18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5</w:t>
      </w:r>
      <w:r>
        <w:rPr>
          <w:rFonts w:hint="eastAsia" w:ascii="仿宋_GB2312" w:hAnsi="仿宋_GB2312" w:eastAsia="仿宋_GB2312" w:cs="仿宋_GB2312"/>
          <w:szCs w:val="32"/>
        </w:rPr>
        <w:t>年2月</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日</w:t>
      </w:r>
    </w:p>
    <w:p w14:paraId="0F59C3A2">
      <w:pPr>
        <w:widowControl/>
        <w:outlineLvl w:val="0"/>
        <w:rPr>
          <w:color w:val="000000"/>
          <w:kern w:val="0"/>
          <w:sz w:val="32"/>
          <w:szCs w:val="32"/>
        </w:rPr>
      </w:pPr>
      <w:r>
        <w:rPr>
          <w:color w:val="000000"/>
          <w:kern w:val="0"/>
          <w:sz w:val="32"/>
          <w:szCs w:val="32"/>
        </w:rPr>
        <w:t>（此件公开发布）</w:t>
      </w:r>
    </w:p>
    <w:p w14:paraId="291F3511">
      <w:pPr>
        <w:spacing w:line="600" w:lineRule="exact"/>
        <w:jc w:val="both"/>
        <w:rPr>
          <w:rFonts w:hint="eastAsia" w:ascii="宋体" w:hAnsi="宋体" w:eastAsia="宋体" w:cs="宋体"/>
          <w:bCs/>
          <w:kern w:val="0"/>
          <w:sz w:val="36"/>
          <w:szCs w:val="36"/>
          <w:lang w:val="en-US" w:eastAsia="zh-CN" w:bidi="ar-SA"/>
        </w:rPr>
      </w:pPr>
    </w:p>
    <w:p w14:paraId="4BA66251">
      <w:pPr>
        <w:pStyle w:val="12"/>
        <w:rPr>
          <w:rFonts w:hint="eastAsia"/>
          <w:lang w:val="en-US" w:eastAsia="zh-CN"/>
        </w:rPr>
      </w:pPr>
    </w:p>
    <w:p w14:paraId="2A8ABF92">
      <w:pPr>
        <w:spacing w:line="600" w:lineRule="exact"/>
        <w:jc w:val="center"/>
        <w:rPr>
          <w:szCs w:val="32"/>
        </w:rPr>
      </w:pPr>
      <w:r>
        <w:rPr>
          <w:rFonts w:hint="eastAsia" w:ascii="宋体" w:hAnsi="宋体" w:eastAsia="宋体" w:cs="宋体"/>
          <w:bCs/>
          <w:kern w:val="0"/>
          <w:sz w:val="36"/>
          <w:szCs w:val="36"/>
          <w:lang w:val="en-US" w:eastAsia="zh-CN" w:bidi="ar-SA"/>
        </w:rPr>
        <w:t>连云港市市场监管领域轻微违法行为从轻处罚、减轻处罚、不予处罚、不予强制实施办法</w:t>
      </w:r>
    </w:p>
    <w:p w14:paraId="4C1FA0DC">
      <w:pPr>
        <w:spacing w:line="600" w:lineRule="exact"/>
        <w:ind w:firstLine="640"/>
        <w:rPr>
          <w:rFonts w:hint="eastAsia" w:ascii="黑体" w:hAnsi="黑体" w:eastAsia="黑体"/>
          <w:szCs w:val="32"/>
        </w:rPr>
      </w:pPr>
    </w:p>
    <w:p w14:paraId="78BBAFD9">
      <w:pPr>
        <w:spacing w:line="560" w:lineRule="exact"/>
        <w:ind w:firstLine="640" w:firstLineChars="200"/>
        <w:rPr>
          <w:rFonts w:ascii="Times New Roman" w:hAnsi="Times New Roman" w:eastAsia="方正仿宋_GBK"/>
          <w:kern w:val="0"/>
          <w:sz w:val="32"/>
          <w:szCs w:val="32"/>
        </w:rPr>
      </w:pPr>
      <w:r>
        <w:rPr>
          <w:rFonts w:ascii="黑体" w:hAnsi="黑体" w:eastAsia="黑体"/>
          <w:kern w:val="0"/>
          <w:sz w:val="32"/>
          <w:szCs w:val="32"/>
        </w:rPr>
        <w:t>第一条</w:t>
      </w:r>
      <w:r>
        <w:rPr>
          <w:rFonts w:ascii="Times New Roman" w:hAnsi="Times New Roman" w:eastAsia="方正黑体_GBK"/>
          <w:kern w:val="0"/>
          <w:sz w:val="32"/>
          <w:szCs w:val="32"/>
        </w:rPr>
        <w:t xml:space="preserve"> </w:t>
      </w:r>
      <w:r>
        <w:rPr>
          <w:rFonts w:ascii="Times New Roman" w:hAnsi="Times New Roman" w:eastAsia="方正仿宋_GBK"/>
          <w:b/>
          <w:kern w:val="0"/>
          <w:sz w:val="32"/>
          <w:szCs w:val="32"/>
        </w:rPr>
        <w:t xml:space="preserve"> </w:t>
      </w:r>
      <w:r>
        <w:rPr>
          <w:rFonts w:hint="eastAsia" w:ascii="仿宋_GB2312" w:eastAsia="仿宋_GB2312"/>
          <w:kern w:val="0"/>
          <w:sz w:val="32"/>
          <w:szCs w:val="32"/>
        </w:rPr>
        <w:t>为了</w:t>
      </w:r>
      <w:r>
        <w:rPr>
          <w:rFonts w:hint="eastAsia" w:ascii="仿宋_GB2312" w:eastAsia="仿宋_GB2312"/>
          <w:sz w:val="32"/>
          <w:szCs w:val="32"/>
        </w:rPr>
        <w:t>探索实施包容审慎监管，规范市场监管执法行为，持续优化营商环境</w:t>
      </w:r>
      <w:r>
        <w:rPr>
          <w:rFonts w:hint="eastAsia" w:ascii="仿宋_GB2312" w:eastAsia="仿宋_GB2312"/>
          <w:kern w:val="0"/>
          <w:sz w:val="32"/>
          <w:szCs w:val="32"/>
        </w:rPr>
        <w:t>，根据《中华人民共和国行政处罚法》《中华人民共和国行政强制法》《</w:t>
      </w:r>
      <w:r>
        <w:rPr>
          <w:rFonts w:hint="eastAsia" w:ascii="仿宋_GB2312" w:eastAsia="仿宋_GB2312"/>
          <w:bCs/>
          <w:sz w:val="32"/>
          <w:szCs w:val="32"/>
          <w:shd w:val="clear" w:color="auto" w:fill="FFFFFF"/>
        </w:rPr>
        <w:t>优化营商环境条例</w:t>
      </w:r>
      <w:r>
        <w:rPr>
          <w:rFonts w:hint="eastAsia" w:ascii="仿宋_GB2312" w:eastAsia="仿宋_GB2312"/>
          <w:kern w:val="0"/>
          <w:sz w:val="32"/>
          <w:szCs w:val="32"/>
        </w:rPr>
        <w:t>》</w:t>
      </w:r>
      <w:r>
        <w:rPr>
          <w:rFonts w:hint="eastAsia" w:ascii="仿宋_GB2312" w:eastAsia="仿宋_GB2312"/>
          <w:sz w:val="32"/>
          <w:szCs w:val="32"/>
        </w:rPr>
        <w:t>《</w:t>
      </w:r>
      <w:r>
        <w:rPr>
          <w:rFonts w:hint="eastAsia" w:ascii="仿宋_GB2312" w:hAnsi="方正仿宋_GBK" w:eastAsia="仿宋_GB2312" w:cs="方正仿宋_GBK"/>
          <w:sz w:val="32"/>
          <w:szCs w:val="32"/>
        </w:rPr>
        <w:t>市场监督管理行政处罚程序规定</w:t>
      </w:r>
      <w:r>
        <w:rPr>
          <w:rFonts w:hint="eastAsia" w:ascii="仿宋_GB2312" w:eastAsia="仿宋_GB2312"/>
          <w:sz w:val="32"/>
          <w:szCs w:val="32"/>
        </w:rPr>
        <w:t>》《</w:t>
      </w:r>
      <w:r>
        <w:rPr>
          <w:rStyle w:val="21"/>
          <w:rFonts w:hint="eastAsia" w:ascii="仿宋_GB2312" w:eastAsia="仿宋_GB2312"/>
          <w:sz w:val="32"/>
          <w:szCs w:val="32"/>
        </w:rPr>
        <w:t>江苏省市场监管领域轻微违法行为不予处罚和从轻减轻处罚规定</w:t>
      </w:r>
      <w:r>
        <w:rPr>
          <w:rFonts w:hint="eastAsia" w:ascii="仿宋_GB2312" w:eastAsia="仿宋_GB2312"/>
          <w:sz w:val="32"/>
          <w:szCs w:val="32"/>
        </w:rPr>
        <w:t>》等法律法规</w:t>
      </w:r>
      <w:r>
        <w:rPr>
          <w:rFonts w:hint="eastAsia" w:ascii="仿宋_GB2312" w:hAnsi="方正仿宋_GBK" w:eastAsia="仿宋_GB2312" w:cs="方正仿宋_GBK"/>
          <w:sz w:val="32"/>
          <w:szCs w:val="32"/>
        </w:rPr>
        <w:t>规章</w:t>
      </w:r>
      <w:r>
        <w:rPr>
          <w:rFonts w:hint="eastAsia" w:ascii="仿宋_GB2312" w:eastAsia="仿宋_GB2312"/>
          <w:sz w:val="32"/>
          <w:szCs w:val="32"/>
        </w:rPr>
        <w:t>和行政规范性文件规定</w:t>
      </w:r>
      <w:r>
        <w:rPr>
          <w:rFonts w:hint="eastAsia" w:ascii="仿宋_GB2312" w:eastAsia="仿宋_GB2312"/>
          <w:kern w:val="0"/>
          <w:sz w:val="32"/>
          <w:szCs w:val="32"/>
        </w:rPr>
        <w:t>，结合本市实际，制定本办法。</w:t>
      </w:r>
    </w:p>
    <w:p w14:paraId="062C1371">
      <w:pPr>
        <w:spacing w:line="560" w:lineRule="exact"/>
        <w:ind w:firstLine="640" w:firstLineChars="200"/>
        <w:rPr>
          <w:rFonts w:ascii="Times New Roman" w:hAnsi="Times New Roman" w:eastAsia="方正仿宋_GBK"/>
          <w:bCs/>
          <w:sz w:val="32"/>
          <w:szCs w:val="32"/>
          <w:shd w:val="clear" w:color="auto" w:fill="FFFFFF"/>
        </w:rPr>
      </w:pPr>
      <w:r>
        <w:rPr>
          <w:rFonts w:ascii="黑体" w:hAnsi="黑体" w:eastAsia="黑体"/>
          <w:kern w:val="0"/>
          <w:sz w:val="32"/>
          <w:szCs w:val="32"/>
        </w:rPr>
        <w:t>第二条</w:t>
      </w:r>
      <w:r>
        <w:rPr>
          <w:rFonts w:ascii="Times New Roman" w:hAnsi="Times New Roman" w:eastAsia="方正黑体_GBK"/>
          <w:kern w:val="0"/>
          <w:sz w:val="32"/>
          <w:szCs w:val="32"/>
        </w:rPr>
        <w:t xml:space="preserve">  </w:t>
      </w:r>
      <w:r>
        <w:rPr>
          <w:rFonts w:ascii="仿宋_GB2312" w:eastAsia="仿宋_GB2312"/>
          <w:kern w:val="0"/>
          <w:sz w:val="32"/>
          <w:szCs w:val="32"/>
        </w:rPr>
        <w:t>本办法适用于全市市场监管系统行政执法工作。</w:t>
      </w:r>
    </w:p>
    <w:p w14:paraId="103192DC">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第三条</w:t>
      </w:r>
      <w:r>
        <w:rPr>
          <w:rFonts w:ascii="Times New Roman" w:hAnsi="Times New Roman" w:eastAsia="方正黑体_GBK"/>
          <w:kern w:val="0"/>
          <w:sz w:val="32"/>
          <w:szCs w:val="32"/>
        </w:rPr>
        <w:t xml:space="preserve">  </w:t>
      </w:r>
      <w:r>
        <w:rPr>
          <w:rFonts w:ascii="仿宋_GB2312" w:eastAsia="仿宋_GB2312"/>
          <w:kern w:val="0"/>
          <w:sz w:val="32"/>
          <w:szCs w:val="32"/>
        </w:rPr>
        <w:t>本办法</w:t>
      </w:r>
      <w:r>
        <w:rPr>
          <w:rFonts w:hint="eastAsia" w:ascii="仿宋_GB2312" w:eastAsia="仿宋_GB2312"/>
          <w:kern w:val="0"/>
          <w:sz w:val="32"/>
          <w:szCs w:val="32"/>
        </w:rPr>
        <w:t>所称</w:t>
      </w:r>
      <w:r>
        <w:rPr>
          <w:rFonts w:ascii="仿宋_GB2312" w:eastAsia="仿宋_GB2312"/>
          <w:kern w:val="0"/>
          <w:sz w:val="32"/>
          <w:szCs w:val="32"/>
        </w:rPr>
        <w:t>从轻处罚是指在依法可以选择的行政处罚种类和处罚幅度内，适用较轻、较少的处罚种类或者较低的处罚幅度。其中，罚款的数额应当为从最低限到最高限这一幅度中较低的</w:t>
      </w:r>
      <w:r>
        <w:rPr>
          <w:rFonts w:ascii="Times New Roman" w:hAnsi="Times New Roman" w:eastAsia="仿宋_GB2312"/>
          <w:kern w:val="0"/>
          <w:sz w:val="32"/>
          <w:szCs w:val="32"/>
        </w:rPr>
        <w:t>30</w:t>
      </w:r>
      <w:r>
        <w:rPr>
          <w:rFonts w:ascii="仿宋_GB2312" w:eastAsia="仿宋_GB2312"/>
          <w:kern w:val="0"/>
          <w:sz w:val="32"/>
          <w:szCs w:val="32"/>
        </w:rPr>
        <w:t>%部分。</w:t>
      </w:r>
    </w:p>
    <w:p w14:paraId="3C1D3A6B">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减轻处罚是指适用法定行政处罚最低限度以下的处罚种类或者处罚幅度。包括在违法行为应当受到的一种或者几种处罚种类之外选择更轻的处罚种类，或者在应当并处时不并处，或者在法定最低罚款限值以下确定罚款数额。</w:t>
      </w:r>
    </w:p>
    <w:p w14:paraId="16A3B995">
      <w:pPr>
        <w:adjustRightInd w:val="0"/>
        <w:snapToGrid w:val="0"/>
        <w:spacing w:line="560" w:lineRule="exact"/>
        <w:ind w:firstLine="640" w:firstLineChars="200"/>
        <w:rPr>
          <w:rFonts w:ascii="仿宋_GB2312" w:eastAsia="仿宋_GB2312"/>
          <w:kern w:val="0"/>
          <w:sz w:val="32"/>
          <w:szCs w:val="32"/>
        </w:rPr>
      </w:pPr>
      <w:r>
        <w:rPr>
          <w:rFonts w:ascii="仿宋_GB2312" w:eastAsia="仿宋_GB2312"/>
          <w:kern w:val="0"/>
          <w:sz w:val="32"/>
          <w:szCs w:val="32"/>
        </w:rPr>
        <w:t>不予处罚是指因法定原因对特定违法行为不给予行政处罚。</w:t>
      </w:r>
    </w:p>
    <w:p w14:paraId="5F37159B">
      <w:pPr>
        <w:adjustRightInd w:val="0"/>
        <w:snapToGrid w:val="0"/>
        <w:spacing w:line="560" w:lineRule="exact"/>
        <w:ind w:firstLine="640" w:firstLineChars="200"/>
        <w:rPr>
          <w:rFonts w:ascii="方正仿宋_GBK" w:hAnsi="方正仿宋_GBK" w:eastAsia="方正仿宋_GBK" w:cs="方正仿宋_GBK"/>
          <w:sz w:val="32"/>
          <w:szCs w:val="32"/>
        </w:rPr>
      </w:pPr>
      <w:r>
        <w:rPr>
          <w:rFonts w:ascii="仿宋_GB2312" w:eastAsia="仿宋_GB2312"/>
          <w:kern w:val="0"/>
          <w:sz w:val="32"/>
          <w:szCs w:val="32"/>
        </w:rPr>
        <w:t>不予强制是指对情节显著轻微或者没有明显社会危害的，以及</w:t>
      </w:r>
      <w:r>
        <w:rPr>
          <w:rFonts w:hint="eastAsia" w:ascii="仿宋_GB2312" w:eastAsia="仿宋_GB2312"/>
          <w:kern w:val="0"/>
          <w:sz w:val="32"/>
          <w:szCs w:val="32"/>
        </w:rPr>
        <w:t>不存在证据损毁、危害发生或危险扩大等可能性的，采取非强制手段可以达到行政管理目的的</w:t>
      </w:r>
      <w:r>
        <w:rPr>
          <w:rFonts w:ascii="仿宋_GB2312" w:eastAsia="仿宋_GB2312"/>
          <w:kern w:val="0"/>
          <w:sz w:val="32"/>
          <w:szCs w:val="32"/>
        </w:rPr>
        <w:t>违法行为</w:t>
      </w:r>
      <w:r>
        <w:rPr>
          <w:rFonts w:hint="eastAsia" w:ascii="仿宋_GB2312" w:eastAsia="仿宋_GB2312"/>
          <w:kern w:val="0"/>
          <w:sz w:val="32"/>
          <w:szCs w:val="32"/>
        </w:rPr>
        <w:t>，可以不采取行政强制措施。</w:t>
      </w:r>
    </w:p>
    <w:p w14:paraId="7F72E1C2">
      <w:pPr>
        <w:pStyle w:val="8"/>
        <w:widowControl w:val="0"/>
        <w:shd w:val="clear" w:color="auto" w:fill="FFFFFF"/>
        <w:spacing w:before="0" w:beforeAutospacing="0" w:after="0" w:afterAutospacing="0" w:line="560" w:lineRule="exact"/>
        <w:ind w:firstLine="640" w:firstLineChars="200"/>
        <w:jc w:val="both"/>
        <w:rPr>
          <w:rFonts w:hint="eastAsia" w:ascii="仿宋_GB2312" w:hAnsi="等线" w:eastAsia="仿宋_GB2312" w:cs="Times New Roman"/>
          <w:sz w:val="32"/>
          <w:szCs w:val="32"/>
        </w:rPr>
      </w:pPr>
      <w:r>
        <w:rPr>
          <w:rFonts w:ascii="黑体" w:hAnsi="黑体" w:eastAsia="黑体" w:cs="Times New Roman"/>
          <w:sz w:val="32"/>
          <w:szCs w:val="32"/>
        </w:rPr>
        <w:t>第四条</w:t>
      </w:r>
      <w:r>
        <w:rPr>
          <w:rFonts w:ascii="Times New Roman" w:hAnsi="Times New Roman" w:eastAsia="方正黑体_GBK" w:cs="Times New Roman"/>
          <w:sz w:val="32"/>
          <w:szCs w:val="32"/>
        </w:rPr>
        <w:t xml:space="preserve">  </w:t>
      </w:r>
      <w:r>
        <w:rPr>
          <w:rFonts w:ascii="仿宋_GB2312" w:hAnsi="等线" w:eastAsia="仿宋_GB2312" w:cs="Times New Roman"/>
          <w:sz w:val="32"/>
          <w:szCs w:val="32"/>
        </w:rPr>
        <w:t>市场监管部门应当坚持公正公开、过罚相当、处罚与教育相结合、教育与强制相结合原则，综合考虑违法行为的事实、性质、情节、社会危害程度等因素，</w:t>
      </w:r>
      <w:r>
        <w:rPr>
          <w:rFonts w:hint="eastAsia" w:ascii="仿宋_GB2312" w:hAnsi="等线" w:eastAsia="仿宋_GB2312" w:cs="Times New Roman"/>
          <w:sz w:val="32"/>
          <w:szCs w:val="32"/>
        </w:rPr>
        <w:t>兼顾地区经济社会发展状况、当事人主客观情况等因素，</w:t>
      </w:r>
      <w:r>
        <w:rPr>
          <w:rFonts w:ascii="仿宋_GB2312" w:hAnsi="等线" w:eastAsia="仿宋_GB2312" w:cs="Times New Roman"/>
          <w:sz w:val="32"/>
          <w:szCs w:val="32"/>
        </w:rPr>
        <w:t>依法、合理、规范行使自由裁量权。</w:t>
      </w:r>
    </w:p>
    <w:p w14:paraId="643B1C2F">
      <w:pPr>
        <w:adjustRightInd w:val="0"/>
        <w:snapToGrid w:val="0"/>
        <w:spacing w:line="560" w:lineRule="exact"/>
        <w:ind w:firstLine="640" w:firstLineChars="200"/>
        <w:rPr>
          <w:rFonts w:ascii="仿宋_GB2312" w:eastAsia="仿宋_GB2312"/>
          <w:kern w:val="0"/>
          <w:sz w:val="32"/>
          <w:szCs w:val="32"/>
        </w:rPr>
      </w:pPr>
      <w:r>
        <w:rPr>
          <w:rFonts w:hint="eastAsia" w:ascii="黑体" w:hAnsi="黑体" w:eastAsia="黑体"/>
          <w:kern w:val="0"/>
          <w:sz w:val="32"/>
          <w:szCs w:val="32"/>
        </w:rPr>
        <w:t>第五条</w:t>
      </w:r>
      <w:r>
        <w:rPr>
          <w:rFonts w:hint="eastAsia" w:ascii="方正仿宋_GBK" w:hAnsi="方正仿宋_GBK" w:eastAsia="方正仿宋_GBK" w:cs="方正仿宋_GBK"/>
          <w:sz w:val="32"/>
          <w:szCs w:val="32"/>
        </w:rPr>
        <w:t xml:space="preserve">　 </w:t>
      </w:r>
      <w:r>
        <w:rPr>
          <w:rFonts w:hint="eastAsia" w:ascii="仿宋_GB2312" w:eastAsia="仿宋_GB2312"/>
          <w:kern w:val="0"/>
          <w:sz w:val="32"/>
          <w:szCs w:val="32"/>
        </w:rPr>
        <w:t>有下列情形之一的，应当依法不予行政处罚：</w:t>
      </w:r>
    </w:p>
    <w:p w14:paraId="2BF4ED08">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（一）不满十四周岁的未成年人有违法行为的；</w:t>
      </w:r>
    </w:p>
    <w:p w14:paraId="17775B03">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（二）精神病人、智力残疾人在不能辨认或者不能控制自己行为时有违法行为的；</w:t>
      </w:r>
    </w:p>
    <w:p w14:paraId="7B373D17">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（三）违法行为轻微并及时改正，没有造成危害后果的；</w:t>
      </w:r>
    </w:p>
    <w:p w14:paraId="2C44ECD4">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（四）除法律、行政法规另有规定外，当事人有证据足以证明没有主观过错的；</w:t>
      </w:r>
    </w:p>
    <w:p w14:paraId="788A6B78">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（五）除法律另有规定外，涉及公民生命健康安全、金融安全且有危害后果的违法行为在五年内未被发现的，其他违法行为在二年内未被发现的；</w:t>
      </w:r>
    </w:p>
    <w:p w14:paraId="16AC0E84">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（六）其他依法应当不予行政处罚的。</w:t>
      </w:r>
    </w:p>
    <w:p w14:paraId="4829A32F">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初次违法且危害后果轻微并及时改正的，可以不予行政处罚。</w:t>
      </w:r>
    </w:p>
    <w:p w14:paraId="6D4D2070">
      <w:pPr>
        <w:adjustRightInd w:val="0"/>
        <w:snapToGrid w:val="0"/>
        <w:spacing w:line="560" w:lineRule="exact"/>
        <w:ind w:firstLine="640" w:firstLineChars="200"/>
        <w:rPr>
          <w:rFonts w:ascii="仿宋_GB2312" w:eastAsia="仿宋_GB2312"/>
          <w:kern w:val="0"/>
          <w:sz w:val="32"/>
          <w:szCs w:val="32"/>
        </w:rPr>
      </w:pPr>
      <w:r>
        <w:rPr>
          <w:rFonts w:hint="eastAsia" w:ascii="黑体" w:hAnsi="黑体" w:eastAsia="黑体"/>
          <w:kern w:val="0"/>
          <w:sz w:val="32"/>
          <w:szCs w:val="32"/>
        </w:rPr>
        <w:t>第六条</w:t>
      </w:r>
      <w:r>
        <w:rPr>
          <w:rFonts w:hint="eastAsia" w:ascii="方正仿宋_GBK" w:hAnsi="方正仿宋_GBK" w:eastAsia="方正仿宋_GBK" w:cs="方正仿宋_GBK"/>
          <w:sz w:val="32"/>
          <w:szCs w:val="32"/>
        </w:rPr>
        <w:t>　</w:t>
      </w:r>
      <w:r>
        <w:rPr>
          <w:rFonts w:hint="eastAsia" w:ascii="仿宋_GB2312" w:eastAsia="仿宋_GB2312"/>
          <w:kern w:val="0"/>
          <w:sz w:val="32"/>
          <w:szCs w:val="32"/>
        </w:rPr>
        <w:t>有下列情形之一的，应当依法从轻或者减轻行政处罚：</w:t>
      </w:r>
    </w:p>
    <w:p w14:paraId="2085515D">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（一）已满十四周岁不满十八周岁的未成年人有违法行为的；</w:t>
      </w:r>
    </w:p>
    <w:p w14:paraId="1BA0D95E">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（二）主动消除或者减轻违法行为危害后果的；</w:t>
      </w:r>
    </w:p>
    <w:p w14:paraId="0AD3E5E0">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（三）受他人胁迫或者诱骗实施违法行为的；</w:t>
      </w:r>
    </w:p>
    <w:p w14:paraId="182CF09F">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（四）主动供述市场监管部门尚未掌握的违法行为的；</w:t>
      </w:r>
    </w:p>
    <w:p w14:paraId="6682F748">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（五）配合市场监管部门查处违法行为有立功表现的，包括但不限于当事人揭发市场监管领域其他重大违法行为或者提供查处市场监管领域其他重大违法行为的关键线索或证据，并经查证属实的；</w:t>
      </w:r>
    </w:p>
    <w:p w14:paraId="55A19CAA">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（六）其他依法应当从轻或者减轻行政处罚的。</w:t>
      </w:r>
    </w:p>
    <w:p w14:paraId="1CAE64E7">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主动消除违法行为危害后果、受他人胁迫实施违法行为的，原则上减轻行政处罚。</w:t>
      </w:r>
    </w:p>
    <w:p w14:paraId="3334A77C">
      <w:pPr>
        <w:adjustRightInd w:val="0"/>
        <w:snapToGrid w:val="0"/>
        <w:spacing w:line="560" w:lineRule="exact"/>
        <w:ind w:firstLine="640" w:firstLineChars="200"/>
        <w:rPr>
          <w:rFonts w:ascii="仿宋_GB2312" w:eastAsia="仿宋_GB2312"/>
          <w:kern w:val="0"/>
          <w:sz w:val="32"/>
          <w:szCs w:val="32"/>
        </w:rPr>
      </w:pPr>
      <w:r>
        <w:rPr>
          <w:rFonts w:hint="eastAsia" w:ascii="黑体" w:hAnsi="黑体" w:eastAsia="黑体"/>
          <w:kern w:val="0"/>
          <w:sz w:val="32"/>
          <w:szCs w:val="32"/>
        </w:rPr>
        <w:t>第七条</w:t>
      </w:r>
      <w:r>
        <w:rPr>
          <w:rFonts w:hint="eastAsia" w:ascii="方正仿宋_GBK" w:hAnsi="方正仿宋_GBK" w:eastAsia="方正仿宋_GBK" w:cs="方正仿宋_GBK"/>
          <w:sz w:val="32"/>
          <w:szCs w:val="32"/>
        </w:rPr>
        <w:t>　</w:t>
      </w:r>
      <w:r>
        <w:rPr>
          <w:rFonts w:hint="eastAsia" w:ascii="仿宋_GB2312" w:eastAsia="仿宋_GB2312"/>
          <w:kern w:val="0"/>
          <w:sz w:val="32"/>
          <w:szCs w:val="32"/>
        </w:rPr>
        <w:t>有下列情形之一的，可以依法从轻或者减轻行政处罚：</w:t>
      </w:r>
    </w:p>
    <w:p w14:paraId="405EE11D">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（一）尚未完全丧失辨认或者控制自己行为能力的精神病人、智力残疾人有违法行为的；</w:t>
      </w:r>
    </w:p>
    <w:p w14:paraId="6F47287C">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（二）积极配合市场监管部门调查并主动提供证据材料的；</w:t>
      </w:r>
    </w:p>
    <w:p w14:paraId="67134C63">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（三）违法行为轻微，社会危害性较小的；</w:t>
      </w:r>
    </w:p>
    <w:p w14:paraId="6A4DD3F4">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（四）在共同违法行为中起次要或者辅助作用的；</w:t>
      </w:r>
    </w:p>
    <w:p w14:paraId="66213D1B">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（五）危害后果由多因素造成，违法行为在危害后果中所起的作用为次要的；</w:t>
      </w:r>
    </w:p>
    <w:p w14:paraId="3E500686">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（六）当事人因残疾或者重大疾病等原因生活确有困难的；</w:t>
      </w:r>
    </w:p>
    <w:p w14:paraId="0152456E">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（七）其他依法可以从轻或者减轻行政处罚的。</w:t>
      </w:r>
    </w:p>
    <w:p w14:paraId="6E11D58D">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黑体" w:hAnsi="黑体" w:eastAsia="黑体"/>
          <w:kern w:val="0"/>
          <w:sz w:val="32"/>
          <w:szCs w:val="32"/>
        </w:rPr>
        <w:t>第八条</w:t>
      </w:r>
      <w:r>
        <w:rPr>
          <w:rFonts w:hint="eastAsia" w:ascii="方正仿宋_GBK" w:hAnsi="方正仿宋_GBK" w:eastAsia="方正仿宋_GBK" w:cs="方正仿宋_GBK"/>
          <w:sz w:val="32"/>
          <w:szCs w:val="32"/>
        </w:rPr>
        <w:t xml:space="preserve">  </w:t>
      </w:r>
      <w:r>
        <w:rPr>
          <w:rFonts w:hint="eastAsia" w:ascii="仿宋_GB2312" w:eastAsia="仿宋_GB2312"/>
          <w:kern w:val="0"/>
          <w:sz w:val="32"/>
          <w:szCs w:val="32"/>
        </w:rPr>
        <w:t>当事人违法行为不完全符合不予行政处罚的条件，但情节明显轻微，按照法定幅度实施行政处罚过罚不当的，可以综合裁量减轻行政处罚。</w:t>
      </w:r>
    </w:p>
    <w:p w14:paraId="60FFE996">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九</w:t>
      </w:r>
      <w:r>
        <w:rPr>
          <w:rFonts w:ascii="黑体" w:hAnsi="黑体" w:eastAsia="黑体"/>
          <w:kern w:val="0"/>
          <w:sz w:val="32"/>
          <w:szCs w:val="32"/>
        </w:rPr>
        <w:t>条</w:t>
      </w:r>
      <w:r>
        <w:rPr>
          <w:rFonts w:hint="eastAsia" w:ascii="黑体" w:hAnsi="黑体" w:eastAsia="黑体"/>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违法行为轻微，可以结合下列因素综合认定：</w:t>
      </w:r>
    </w:p>
    <w:p w14:paraId="4ACA5CF4">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（一）主观过错较小；</w:t>
      </w:r>
    </w:p>
    <w:p w14:paraId="3376A751">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（二）初次违法；</w:t>
      </w:r>
    </w:p>
    <w:p w14:paraId="59A66B6B">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（三）违法行为持续时间较短；</w:t>
      </w:r>
    </w:p>
    <w:p w14:paraId="4ED06A95">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（四）及时中止违法行为；</w:t>
      </w:r>
    </w:p>
    <w:p w14:paraId="3418B074">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（五）没有违法所得或者违法所得金额较小；</w:t>
      </w:r>
    </w:p>
    <w:p w14:paraId="7C5FD041">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（六）案涉货值金额较小</w:t>
      </w:r>
      <w:r>
        <w:rPr>
          <w:rFonts w:hint="eastAsia" w:ascii="仿宋_GB2312" w:eastAsia="仿宋_GB2312"/>
          <w:kern w:val="0"/>
          <w:sz w:val="32"/>
          <w:szCs w:val="32"/>
        </w:rPr>
        <w:t>，或者案涉产品、服务数量较少</w:t>
      </w:r>
      <w:r>
        <w:rPr>
          <w:rFonts w:ascii="仿宋_GB2312" w:eastAsia="仿宋_GB2312"/>
          <w:kern w:val="0"/>
          <w:sz w:val="32"/>
          <w:szCs w:val="32"/>
        </w:rPr>
        <w:t>；</w:t>
      </w:r>
    </w:p>
    <w:p w14:paraId="67C4E1B7">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（七）案涉产品或者服务合格或者符合标准；</w:t>
      </w:r>
    </w:p>
    <w:p w14:paraId="3C208F05">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（八）其他能够反映违法行为轻微的因素。</w:t>
      </w:r>
    </w:p>
    <w:p w14:paraId="4AD4F3EF">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十</w:t>
      </w:r>
      <w:r>
        <w:rPr>
          <w:rFonts w:ascii="黑体" w:hAnsi="黑体" w:eastAsia="黑体"/>
          <w:kern w:val="0"/>
          <w:sz w:val="32"/>
          <w:szCs w:val="32"/>
        </w:rPr>
        <w:t>条</w:t>
      </w:r>
      <w:r>
        <w:rPr>
          <w:rFonts w:ascii="Times New Roman" w:hAnsi="Times New Roman" w:eastAsia="方正仿宋_GBK"/>
          <w:sz w:val="32"/>
          <w:szCs w:val="32"/>
        </w:rPr>
        <w:t xml:space="preserve">  </w:t>
      </w:r>
      <w:r>
        <w:rPr>
          <w:rFonts w:ascii="仿宋_GB2312" w:eastAsia="仿宋_GB2312"/>
          <w:kern w:val="0"/>
          <w:sz w:val="32"/>
          <w:szCs w:val="32"/>
        </w:rPr>
        <w:t>没有造成危害后果或没有明显社会危害，可以结合下列因素综合认定：</w:t>
      </w:r>
    </w:p>
    <w:p w14:paraId="585B88E2">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（一）违法行为持续时间较短；</w:t>
      </w:r>
    </w:p>
    <w:p w14:paraId="3E9E8C7B">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（二）未造成人身伤害和财产损失；</w:t>
      </w:r>
    </w:p>
    <w:p w14:paraId="6193C496">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（三）违法行为的规模或涉及的区域范围较小；</w:t>
      </w:r>
    </w:p>
    <w:p w14:paraId="1FDDB1E5">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（四）及时改正；</w:t>
      </w:r>
    </w:p>
    <w:p w14:paraId="0BBB9A22">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（五）未造成不良社会影响；</w:t>
      </w:r>
    </w:p>
    <w:p w14:paraId="4473FAEF">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（六）其他体现没有造成危害后果和没有明显社会危害的因素。</w:t>
      </w:r>
    </w:p>
    <w:p w14:paraId="76B99EF9">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违法行为有特定对象，未造成特定对象任何人身伤害、财产损失等，可以认定为没有造成危害后果。违法行为没有特定对象，持续时间较短，未造成不良社会影响的，可以认定为没有造成危害后果。</w:t>
      </w:r>
    </w:p>
    <w:p w14:paraId="2DAC8190">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十一</w:t>
      </w:r>
      <w:r>
        <w:rPr>
          <w:rFonts w:ascii="黑体" w:hAnsi="黑体" w:eastAsia="黑体"/>
          <w:kern w:val="0"/>
          <w:sz w:val="32"/>
          <w:szCs w:val="32"/>
        </w:rPr>
        <w:t>条</w:t>
      </w:r>
      <w:r>
        <w:rPr>
          <w:rFonts w:ascii="Times New Roman" w:hAnsi="Times New Roman" w:eastAsia="方正仿宋_GBK"/>
          <w:sz w:val="32"/>
          <w:szCs w:val="32"/>
        </w:rPr>
        <w:t xml:space="preserve">  </w:t>
      </w:r>
      <w:r>
        <w:rPr>
          <w:rFonts w:ascii="仿宋_GB2312" w:eastAsia="仿宋_GB2312"/>
          <w:kern w:val="0"/>
          <w:sz w:val="32"/>
          <w:szCs w:val="32"/>
        </w:rPr>
        <w:t>危害后果轻微，可以结合下列因素综合认定：</w:t>
      </w:r>
    </w:p>
    <w:p w14:paraId="4CDABA48">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（一）危害程度较轻，如对市场秩序的扰乱程度轻微，对消费者欺骗、误导作用较小等；</w:t>
      </w:r>
    </w:p>
    <w:p w14:paraId="39E842CF">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（二）危害范围较小；</w:t>
      </w:r>
    </w:p>
    <w:p w14:paraId="5AB5E07B">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（三）危害后果易于消除或者减轻；</w:t>
      </w:r>
    </w:p>
    <w:p w14:paraId="51D4BC4A">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（四）主动消除或者减轻违法行为危害后果；</w:t>
      </w:r>
    </w:p>
    <w:p w14:paraId="2D4BB2F4">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（五）主动与违法行为损害的对象达成和解；</w:t>
      </w:r>
    </w:p>
    <w:p w14:paraId="75DF35F7">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（六）其他能够反映危害后果轻微的因素。</w:t>
      </w:r>
    </w:p>
    <w:p w14:paraId="36A4E3D9">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十二</w:t>
      </w:r>
      <w:r>
        <w:rPr>
          <w:rFonts w:ascii="黑体" w:hAnsi="黑体" w:eastAsia="黑体"/>
          <w:kern w:val="0"/>
          <w:sz w:val="32"/>
          <w:szCs w:val="32"/>
        </w:rPr>
        <w:t>条</w:t>
      </w:r>
      <w:r>
        <w:rPr>
          <w:rFonts w:ascii="Times New Roman" w:hAnsi="Times New Roman" w:eastAsia="方正仿宋_GBK"/>
          <w:sz w:val="32"/>
          <w:szCs w:val="32"/>
        </w:rPr>
        <w:t xml:space="preserve">  </w:t>
      </w:r>
      <w:r>
        <w:rPr>
          <w:rFonts w:ascii="仿宋_GB2312" w:eastAsia="仿宋_GB2312"/>
          <w:kern w:val="0"/>
          <w:sz w:val="32"/>
          <w:szCs w:val="32"/>
        </w:rPr>
        <w:t>当事人有下列情形之一的，属于及时改正：</w:t>
      </w:r>
    </w:p>
    <w:p w14:paraId="1135B258">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（一）在市场监管部门发现违法行为线索之前主动改正；</w:t>
      </w:r>
    </w:p>
    <w:p w14:paraId="2C1F4166">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（二）在市场监管部门发现违法行为线索之后，责令改正之前主动改正；</w:t>
      </w:r>
    </w:p>
    <w:p w14:paraId="48D0D854">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（三）在市场监管部门责令改正后按要求改正。</w:t>
      </w:r>
    </w:p>
    <w:p w14:paraId="31DB8392">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前款所列三种情形的及时性、主动性依次减弱，市场监管部门在作出从轻、减轻处罚或者不予行政处罚的决定时，应当综合考虑改正情节。</w:t>
      </w:r>
    </w:p>
    <w:p w14:paraId="06272A9F">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改正的方式包括停止并纠正违法行为、召回或者下架案涉产品、</w:t>
      </w:r>
      <w:r>
        <w:rPr>
          <w:rFonts w:hint="eastAsia" w:ascii="仿宋_GB2312" w:eastAsia="仿宋_GB2312"/>
          <w:kern w:val="0"/>
          <w:sz w:val="32"/>
          <w:szCs w:val="32"/>
        </w:rPr>
        <w:t>停止提供案涉服务、</w:t>
      </w:r>
      <w:r>
        <w:rPr>
          <w:rFonts w:ascii="仿宋_GB2312" w:eastAsia="仿宋_GB2312"/>
          <w:kern w:val="0"/>
          <w:sz w:val="32"/>
          <w:szCs w:val="32"/>
        </w:rPr>
        <w:t>退还违法所得</w:t>
      </w:r>
      <w:r>
        <w:rPr>
          <w:rFonts w:hint="eastAsia" w:ascii="仿宋_GB2312" w:eastAsia="仿宋_GB2312"/>
          <w:kern w:val="0"/>
          <w:sz w:val="32"/>
          <w:szCs w:val="32"/>
        </w:rPr>
        <w:t>、履行法定义务</w:t>
      </w:r>
      <w:r>
        <w:rPr>
          <w:rFonts w:ascii="仿宋_GB2312" w:eastAsia="仿宋_GB2312"/>
          <w:kern w:val="0"/>
          <w:sz w:val="32"/>
          <w:szCs w:val="32"/>
        </w:rPr>
        <w:t>等。</w:t>
      </w:r>
    </w:p>
    <w:p w14:paraId="4CF88E4E">
      <w:pPr>
        <w:spacing w:line="560" w:lineRule="exact"/>
        <w:ind w:firstLine="640" w:firstLineChars="200"/>
        <w:rPr>
          <w:rFonts w:hint="eastAsia" w:ascii="仿宋_GB2312" w:eastAsia="仿宋_GB2312"/>
          <w:kern w:val="0"/>
          <w:sz w:val="32"/>
          <w:szCs w:val="32"/>
        </w:rPr>
      </w:pPr>
      <w:r>
        <w:rPr>
          <w:rFonts w:ascii="黑体" w:hAnsi="黑体" w:eastAsia="黑体"/>
          <w:kern w:val="0"/>
          <w:sz w:val="32"/>
          <w:szCs w:val="32"/>
        </w:rPr>
        <w:t>第十</w:t>
      </w:r>
      <w:r>
        <w:rPr>
          <w:rFonts w:hint="eastAsia" w:ascii="黑体" w:hAnsi="黑体" w:eastAsia="黑体"/>
          <w:kern w:val="0"/>
          <w:sz w:val="32"/>
          <w:szCs w:val="32"/>
        </w:rPr>
        <w:t>三</w:t>
      </w:r>
      <w:r>
        <w:rPr>
          <w:rFonts w:ascii="黑体" w:hAnsi="黑体" w:eastAsia="黑体"/>
          <w:kern w:val="0"/>
          <w:sz w:val="32"/>
          <w:szCs w:val="32"/>
        </w:rPr>
        <w:t>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hint="eastAsia" w:ascii="仿宋_GB2312" w:eastAsia="仿宋_GB2312"/>
          <w:kern w:val="0"/>
          <w:sz w:val="32"/>
          <w:szCs w:val="32"/>
        </w:rPr>
        <w:t>初次违法是指当事人第一次实施该性质违法行为；同一当事人二年内未发生同一性质违法行为的，视为初次违法，涉及公民生命健康安全、金融安全且有危害后果的为五年。</w:t>
      </w:r>
    </w:p>
    <w:p w14:paraId="1A03B437">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经询问当事人，并查询国家企业信用信息公示系统以及执法办案系统，未发现当事人在前款规定期限内有同一性质违法行为的，可以认定为初次违法。</w:t>
      </w:r>
    </w:p>
    <w:p w14:paraId="65A4FE77">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前款规定的期限，是指当事人前一次违法行为处理决定作出之日与本次违法行为发生之日的时间间隔；同一性质违法行为，是指市场监管部门适用相同的法律条款作出处理的违法行为。</w:t>
      </w:r>
    </w:p>
    <w:p w14:paraId="44845AF4">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当事人两次违法行为违反的具体法律规范存在上位法与下位法、行政违法与刑事犯罪关系的，属于同一性质违法行为。</w:t>
      </w:r>
    </w:p>
    <w:p w14:paraId="55594CAF">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第十</w:t>
      </w:r>
      <w:r>
        <w:rPr>
          <w:rFonts w:hint="eastAsia" w:ascii="黑体" w:hAnsi="黑体" w:eastAsia="黑体"/>
          <w:kern w:val="0"/>
          <w:sz w:val="32"/>
          <w:szCs w:val="32"/>
        </w:rPr>
        <w:t>四</w:t>
      </w:r>
      <w:r>
        <w:rPr>
          <w:rFonts w:ascii="黑体" w:hAnsi="黑体" w:eastAsia="黑体"/>
          <w:kern w:val="0"/>
          <w:sz w:val="32"/>
          <w:szCs w:val="32"/>
        </w:rPr>
        <w:t>条</w:t>
      </w:r>
      <w:r>
        <w:rPr>
          <w:rFonts w:ascii="Times New Roman" w:hAnsi="Times New Roman" w:eastAsia="方正仿宋_GBK"/>
          <w:sz w:val="32"/>
          <w:szCs w:val="32"/>
        </w:rPr>
        <w:t xml:space="preserve">  </w:t>
      </w:r>
      <w:r>
        <w:rPr>
          <w:rFonts w:ascii="仿宋_GB2312" w:eastAsia="仿宋_GB2312"/>
          <w:kern w:val="0"/>
          <w:sz w:val="32"/>
          <w:szCs w:val="32"/>
        </w:rPr>
        <w:t>当事人的主观过错包括故意和过失，故意的过错程度大于过失。</w:t>
      </w:r>
    </w:p>
    <w:p w14:paraId="5B633991">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当事人是否存在主观过错，可以结合下列因素综合认定：</w:t>
      </w:r>
    </w:p>
    <w:p w14:paraId="6C65379C">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（一）当事人对违法行为是否明知或者应知；</w:t>
      </w:r>
    </w:p>
    <w:p w14:paraId="3AC787C7">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（二）当事人是否有能力控制违法行为及其后果；</w:t>
      </w:r>
    </w:p>
    <w:p w14:paraId="751BE43D">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（三）当事人是否履行了法定的生产经营责任；</w:t>
      </w:r>
    </w:p>
    <w:p w14:paraId="71562DF1">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（四）当事人是否通过合法途径取得商品或者相关授权；</w:t>
      </w:r>
    </w:p>
    <w:p w14:paraId="54C4DC29">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（五）其他能够反映当事人主观状态的因素。</w:t>
      </w:r>
    </w:p>
    <w:p w14:paraId="13ECCF49">
      <w:pPr>
        <w:spacing w:line="560" w:lineRule="exact"/>
        <w:ind w:firstLine="640" w:firstLineChars="200"/>
        <w:rPr>
          <w:rFonts w:hint="eastAsia" w:ascii="仿宋_GB2312" w:eastAsia="仿宋_GB2312"/>
          <w:kern w:val="0"/>
          <w:sz w:val="32"/>
          <w:szCs w:val="32"/>
        </w:rPr>
      </w:pPr>
      <w:r>
        <w:rPr>
          <w:rFonts w:ascii="仿宋_GB2312" w:eastAsia="仿宋_GB2312"/>
          <w:kern w:val="0"/>
          <w:sz w:val="32"/>
          <w:szCs w:val="32"/>
        </w:rPr>
        <w:t>没有主观过错的举证责任由当事人承担。法律、行政法规另有规定的，从其规定。</w:t>
      </w:r>
    </w:p>
    <w:p w14:paraId="02653122">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第十</w:t>
      </w:r>
      <w:r>
        <w:rPr>
          <w:rFonts w:hint="eastAsia" w:ascii="黑体" w:hAnsi="黑体" w:eastAsia="黑体"/>
          <w:kern w:val="0"/>
          <w:sz w:val="32"/>
          <w:szCs w:val="32"/>
        </w:rPr>
        <w:t>五</w:t>
      </w:r>
      <w:r>
        <w:rPr>
          <w:rFonts w:ascii="黑体" w:hAnsi="黑体" w:eastAsia="黑体"/>
          <w:kern w:val="0"/>
          <w:sz w:val="32"/>
          <w:szCs w:val="32"/>
        </w:rPr>
        <w:t>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违法行为持续时间较短是指当事人违法行为的连续、继续或者持续状态一般不超过</w:t>
      </w:r>
      <w:r>
        <w:rPr>
          <w:rFonts w:ascii="Times New Roman" w:hAnsi="Times New Roman" w:eastAsia="仿宋_GB2312"/>
          <w:kern w:val="0"/>
          <w:sz w:val="32"/>
          <w:szCs w:val="32"/>
        </w:rPr>
        <w:t>2</w:t>
      </w:r>
      <w:r>
        <w:rPr>
          <w:rFonts w:ascii="仿宋_GB2312" w:eastAsia="仿宋_GB2312"/>
          <w:kern w:val="0"/>
          <w:sz w:val="32"/>
          <w:szCs w:val="32"/>
        </w:rPr>
        <w:t>个月。违法所得金额较小是指一般不超过</w:t>
      </w:r>
      <w:r>
        <w:rPr>
          <w:rFonts w:ascii="Times New Roman" w:hAnsi="Times New Roman" w:eastAsia="仿宋_GB2312"/>
          <w:kern w:val="0"/>
          <w:sz w:val="32"/>
          <w:szCs w:val="32"/>
        </w:rPr>
        <w:t>500</w:t>
      </w:r>
      <w:r>
        <w:rPr>
          <w:rFonts w:ascii="仿宋_GB2312" w:eastAsia="仿宋_GB2312"/>
          <w:kern w:val="0"/>
          <w:sz w:val="32"/>
          <w:szCs w:val="32"/>
        </w:rPr>
        <w:t>元。案涉货值金额（违法经营额）较小是指一般不超过</w:t>
      </w:r>
      <w:r>
        <w:rPr>
          <w:rFonts w:ascii="Times New Roman" w:hAnsi="Times New Roman" w:eastAsia="仿宋_GB2312"/>
          <w:kern w:val="0"/>
          <w:sz w:val="32"/>
          <w:szCs w:val="32"/>
        </w:rPr>
        <w:t>5000</w:t>
      </w:r>
      <w:r>
        <w:rPr>
          <w:rFonts w:ascii="仿宋_GB2312" w:eastAsia="仿宋_GB2312"/>
          <w:kern w:val="0"/>
          <w:sz w:val="32"/>
          <w:szCs w:val="32"/>
        </w:rPr>
        <w:t>元。</w:t>
      </w:r>
    </w:p>
    <w:p w14:paraId="18B1C2F9">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法律法规规章或者本办法所附清单中对违法所得较少、货值金额（违法经营额）较小、违法时间较短有规定的，从其规定。</w:t>
      </w:r>
    </w:p>
    <w:p w14:paraId="541A227F">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第十六条</w:t>
      </w:r>
      <w:r>
        <w:rPr>
          <w:rFonts w:hint="eastAsia" w:ascii="方正黑体_GBK" w:hAnsi="方正黑体_GBK" w:eastAsia="方正黑体_GBK" w:cs="方正黑体_GBK"/>
          <w:sz w:val="32"/>
          <w:szCs w:val="32"/>
        </w:rPr>
        <w:t xml:space="preserve">  </w:t>
      </w:r>
      <w:r>
        <w:rPr>
          <w:rFonts w:hint="eastAsia" w:ascii="仿宋_GB2312" w:eastAsia="仿宋_GB2312"/>
          <w:kern w:val="0"/>
          <w:sz w:val="32"/>
          <w:szCs w:val="32"/>
        </w:rPr>
        <w:t>在案件调查终结前，当事人主动采取措施消除或者减轻危害后果且产生了实际效果的，属于主动消除或者减轻违法行为危害后果，包括召回案涉产品、退回违法所得、赔偿损失、消除影响等。</w:t>
      </w:r>
    </w:p>
    <w:p w14:paraId="2AC552BE">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第十七条</w:t>
      </w:r>
      <w:r>
        <w:rPr>
          <w:rFonts w:hint="eastAsia" w:ascii="方正仿宋_GBK" w:hAnsi="方正仿宋_GBK" w:eastAsia="方正仿宋_GBK" w:cs="方正仿宋_GBK"/>
          <w:sz w:val="32"/>
          <w:szCs w:val="32"/>
        </w:rPr>
        <w:t xml:space="preserve">  </w:t>
      </w:r>
      <w:r>
        <w:rPr>
          <w:rFonts w:hint="eastAsia" w:ascii="仿宋_GB2312" w:eastAsia="仿宋_GB2312"/>
          <w:kern w:val="0"/>
          <w:sz w:val="32"/>
          <w:szCs w:val="32"/>
        </w:rPr>
        <w:t>符合下列情形之一的，属于主动供述市场监管部门尚未掌握的违法行为：</w:t>
      </w:r>
    </w:p>
    <w:p w14:paraId="02A340F5">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（一）在市场监管部门调查当事人违法行为的过程中，当事人主动供述市场监管部门尚未掌握的自身其他市场监管领域违法行为，经查证属实的；</w:t>
      </w:r>
    </w:p>
    <w:p w14:paraId="08212120">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（二）在接受市场监管部门日常检查、“双随机”检查等过程中，主动供述市场监管部门尚未发现的自身市场监管领域违法行为，经查证属实的；</w:t>
      </w:r>
    </w:p>
    <w:p w14:paraId="327D76E7">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（三）未接受市场监管部门调查或者检查，主动供述市场监管部门尚未掌握的自身市场监管领域违法行为，经查证属实的；</w:t>
      </w:r>
    </w:p>
    <w:p w14:paraId="51287B85">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（四）主动向其他部门供述市场监管部门尚未掌握的自身市场监管领域违法行为，其他部门移送市场监管部门调查处理，经查证属实的；</w:t>
      </w:r>
    </w:p>
    <w:p w14:paraId="4E27CC09">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（五）其他主动供述市场监管部门尚未掌握的违法行为的。</w:t>
      </w:r>
    </w:p>
    <w:p w14:paraId="3220620C">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当事人主动供述市场监管部门尚未掌握的违法行为的，应当依法对被供述的违法行为从轻或者减轻行政处罚。对于前款第一项情形中被调查的违法行为，当事人积极配合调查并主动提供证据材料的，按照本办法第七条第二项、第十八条处理。当事人主动供述市场监管部门尚未掌握的其他经营主体违法行为的，按照本办法第六条第一款第五项处理。</w:t>
      </w:r>
    </w:p>
    <w:p w14:paraId="28441BC1">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第十八条</w:t>
      </w:r>
      <w:r>
        <w:rPr>
          <w:rFonts w:hint="eastAsia" w:ascii="方正仿宋_GBK" w:hAnsi="方正仿宋_GBK" w:eastAsia="方正仿宋_GBK" w:cs="方正仿宋_GBK"/>
          <w:sz w:val="32"/>
          <w:szCs w:val="32"/>
        </w:rPr>
        <w:t xml:space="preserve">  </w:t>
      </w:r>
      <w:r>
        <w:rPr>
          <w:rFonts w:hint="eastAsia" w:ascii="仿宋_GB2312" w:eastAsia="仿宋_GB2312"/>
          <w:kern w:val="0"/>
          <w:sz w:val="32"/>
          <w:szCs w:val="32"/>
        </w:rPr>
        <w:t>认定当事人积极配合市场监管部门调查并主动提供证据材料，应当同时符合积极配合调查、主动提供证据材料两个条件。</w:t>
      </w:r>
    </w:p>
    <w:p w14:paraId="541EE2FE">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当事人表面配合、变相躲避或者拖延调查的，不属于积极配合调查。当事人按市场监管部门明确要求提供有关证据材料的，不属于主动提供证据材料，但当事人具有配合意愿、需要市场监管部门对提供证据材料进行指导的除外。</w:t>
      </w:r>
    </w:p>
    <w:p w14:paraId="4BC39CB0">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第十九条</w:t>
      </w:r>
      <w:r>
        <w:rPr>
          <w:rFonts w:hint="eastAsia" w:ascii="方正仿宋_GBK" w:hAnsi="方正仿宋_GBK" w:eastAsia="方正仿宋_GBK" w:cs="方正仿宋_GBK"/>
          <w:sz w:val="32"/>
          <w:szCs w:val="32"/>
        </w:rPr>
        <w:t xml:space="preserve">  </w:t>
      </w:r>
      <w:bookmarkStart w:id="0" w:name="_Hlk137130951"/>
      <w:r>
        <w:rPr>
          <w:rFonts w:hint="eastAsia" w:ascii="仿宋_GB2312" w:eastAsia="仿宋_GB2312"/>
          <w:kern w:val="0"/>
          <w:sz w:val="32"/>
          <w:szCs w:val="32"/>
        </w:rPr>
        <w:t>符合下列情形之一的，可以视为在共同违法行为中起次要或者辅助作用：</w:t>
      </w:r>
    </w:p>
    <w:p w14:paraId="239461E2">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（一）在</w:t>
      </w:r>
      <w:r>
        <w:rPr>
          <w:rFonts w:ascii="仿宋_GB2312" w:eastAsia="仿宋_GB2312"/>
          <w:kern w:val="0"/>
          <w:sz w:val="32"/>
          <w:szCs w:val="32"/>
        </w:rPr>
        <w:t>违法行为</w:t>
      </w:r>
      <w:r>
        <w:rPr>
          <w:rFonts w:hint="eastAsia" w:ascii="仿宋_GB2312" w:eastAsia="仿宋_GB2312"/>
          <w:kern w:val="0"/>
          <w:sz w:val="32"/>
          <w:szCs w:val="32"/>
        </w:rPr>
        <w:t>中所起的作用较小，不是违法行为的主要推动者或决策者，处于从属地位</w:t>
      </w:r>
      <w:r>
        <w:rPr>
          <w:rFonts w:ascii="仿宋_GB2312" w:eastAsia="仿宋_GB2312"/>
          <w:kern w:val="0"/>
          <w:sz w:val="32"/>
          <w:szCs w:val="32"/>
        </w:rPr>
        <w:t>；</w:t>
      </w:r>
    </w:p>
    <w:p w14:paraId="5F532DA4">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（二）未参与违法行为的主要环节；</w:t>
      </w:r>
    </w:p>
    <w:p w14:paraId="424CAE86">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（三）其他起次要或者辅助作用的情形。</w:t>
      </w:r>
    </w:p>
    <w:bookmarkEnd w:id="0"/>
    <w:p w14:paraId="701124B2">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第二十条</w:t>
      </w:r>
      <w:r>
        <w:rPr>
          <w:rFonts w:hint="eastAsia" w:ascii="方正黑体_GBK" w:hAnsi="方正黑体_GBK" w:eastAsia="方正黑体_GBK" w:cs="方正黑体_GBK"/>
          <w:sz w:val="32"/>
          <w:szCs w:val="32"/>
        </w:rPr>
        <w:t xml:space="preserve">  </w:t>
      </w:r>
      <w:r>
        <w:rPr>
          <w:rFonts w:hint="eastAsia" w:ascii="仿宋_GB2312" w:eastAsia="仿宋_GB2312"/>
          <w:kern w:val="0"/>
          <w:sz w:val="32"/>
          <w:szCs w:val="32"/>
        </w:rPr>
        <w:t>当事人因残疾或者重大疾病等原因生活确有困难，可以结合下列因素综合认定：</w:t>
      </w:r>
    </w:p>
    <w:p w14:paraId="286E6DB5">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（一）当事人本人或者配偶，以及其负有扶养、抚养、赡养义务的近亲属患有残疾或者重大疾病的；</w:t>
      </w:r>
    </w:p>
    <w:p w14:paraId="34ACD394">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（二）当事人领取最低生活保障金的；</w:t>
      </w:r>
    </w:p>
    <w:p w14:paraId="192A721A">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（三）社区或者村委会证明其生活确有困难的；</w:t>
      </w:r>
    </w:p>
    <w:p w14:paraId="133830C9">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（四）其他能够反映生活确有困难的情形。</w:t>
      </w:r>
    </w:p>
    <w:p w14:paraId="4595AB81">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第二十一条</w:t>
      </w:r>
      <w:r>
        <w:rPr>
          <w:rFonts w:hint="eastAsia" w:ascii="方正仿宋_GBK" w:hAnsi="方正仿宋_GBK" w:eastAsia="方正仿宋_GBK" w:cs="方正仿宋_GBK"/>
          <w:sz w:val="32"/>
          <w:szCs w:val="32"/>
        </w:rPr>
        <w:t>　</w:t>
      </w:r>
      <w:r>
        <w:rPr>
          <w:rFonts w:hint="eastAsia" w:ascii="仿宋_GB2312" w:eastAsia="仿宋_GB2312"/>
          <w:kern w:val="0"/>
          <w:sz w:val="32"/>
          <w:szCs w:val="32"/>
        </w:rPr>
        <w:t>当事人违法行为未列入不予处罚、减轻处罚清单，或者不符合清单所列条件的，市场监管部门应当按照《</w:t>
      </w:r>
      <w:r>
        <w:rPr>
          <w:rFonts w:ascii="仿宋_GB2312" w:eastAsia="仿宋_GB2312"/>
          <w:kern w:val="0"/>
          <w:sz w:val="32"/>
          <w:szCs w:val="32"/>
        </w:rPr>
        <w:t>中华人民共和国</w:t>
      </w:r>
      <w:r>
        <w:rPr>
          <w:rFonts w:hint="eastAsia" w:ascii="仿宋_GB2312" w:eastAsia="仿宋_GB2312"/>
          <w:kern w:val="0"/>
          <w:sz w:val="32"/>
          <w:szCs w:val="32"/>
        </w:rPr>
        <w:t>行政处罚法》等法律法规规章和有关文件，</w:t>
      </w:r>
      <w:r>
        <w:rPr>
          <w:rFonts w:ascii="仿宋_GB2312" w:eastAsia="仿宋_GB2312"/>
          <w:kern w:val="0"/>
          <w:sz w:val="32"/>
          <w:szCs w:val="32"/>
        </w:rPr>
        <w:t>结合</w:t>
      </w:r>
      <w:r>
        <w:rPr>
          <w:rFonts w:hint="eastAsia" w:ascii="仿宋_GB2312" w:eastAsia="仿宋_GB2312"/>
          <w:kern w:val="0"/>
          <w:sz w:val="32"/>
          <w:szCs w:val="32"/>
        </w:rPr>
        <w:t>本办法予以酌情考虑，综合裁量作出是否不予处罚或者从轻、减轻处罚的决定：</w:t>
      </w:r>
    </w:p>
    <w:p w14:paraId="2EF24EEF">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（一）对于市场主体登记领域违法行为，酌情考虑市场主体的类型、规模、违法手段、危害后果等因素；</w:t>
      </w:r>
    </w:p>
    <w:p w14:paraId="10EA0EB6">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（二）对于价格领域违法行为，酌情考虑违法所得、价格违法商品或者服务的数量和价值、是否退还违法所得等因素；</w:t>
      </w:r>
    </w:p>
    <w:p w14:paraId="04148ABB">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（三）对于不正当竞争领域违法行为，酌情考虑违法行为对市场竞争的扰乱程度、对消费者或者其他经营者权益的影响、违法所得等因素；</w:t>
      </w:r>
    </w:p>
    <w:p w14:paraId="290CD981">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（四）对于广告领域违法行为，酌情考虑违法行为持续时间、广告浏览量、广告发布载体性质、广告对消费者消费行为的影响程度等因素；</w:t>
      </w:r>
    </w:p>
    <w:p w14:paraId="5F576CA7">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（五）对于产品质量领域违法行为，酌情考虑产品质量不合格的项目和程度、货值金额、主观过错、是否能够如实说明进货来源、是否造成危害后果等因素；</w:t>
      </w:r>
    </w:p>
    <w:p w14:paraId="1BFFC99B">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（六）对于食品领域违法行为，酌情考虑货值金额、违法行为持续时间、主观过错、是否履行进货查验义务、是否能够如实说明进货来源、是否造成食源性疾病等因素；</w:t>
      </w:r>
    </w:p>
    <w:p w14:paraId="24FE3DD1">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（七）对于特种设备安全领域违法行为，酌情考虑特种设备的类型、数量、规模，不符合特种设备安全技术规范及相关标准的项目，是否及时停止生产、经营或使用，是否造成特种设备事故等因素；</w:t>
      </w:r>
    </w:p>
    <w:p w14:paraId="555A840B">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（八）对于商标领域违法行为，酌情考虑侵权商品或者服务的数量、违法经营额、违法所得、主观过错、是否能够说明合法来源、违法行为持续时间、危害后果等因素；</w:t>
      </w:r>
    </w:p>
    <w:p w14:paraId="4DA0E517">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（九）对于药品领域违法行为，酌情考虑违法行为持续时间、主观过错、货值金额、是否履行进货查验义务、案涉药品风险性大小、药品质量是否符合标准、购进和销售渠道是否合法、是否造成危害后果等因素；</w:t>
      </w:r>
    </w:p>
    <w:p w14:paraId="180F9D1D">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（十）对于化妆品领域违法行为，酌情考虑违法行为持续时间、主观过错、货值金额、是否履行进货查验义务、案涉化妆品质量是否符合标准、购进和销售渠道是否合法、是否造成危害后果等因素；</w:t>
      </w:r>
    </w:p>
    <w:p w14:paraId="68E9C85C">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十一）对于医疗器械领域违法行为，酌情考虑违法行为持续时间、主观过错、货值金额、是否履行进货查验义务、案涉医疗器械风险性大小、医疗器械质量是否符合标准、购进和销售渠道是否合法、是否造成危害后果等因素。</w:t>
      </w:r>
    </w:p>
    <w:p w14:paraId="5414E6F8">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（十二）对于其他领域违法行为，根据实际情况依法进行综合裁量。</w:t>
      </w:r>
    </w:p>
    <w:p w14:paraId="7B4BF7F9">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第二十二条</w:t>
      </w:r>
      <w:r>
        <w:rPr>
          <w:rFonts w:hint="eastAsia" w:ascii="方正仿宋_GBK" w:hAnsi="方正仿宋_GBK" w:eastAsia="方正仿宋_GBK" w:cs="方正仿宋_GBK"/>
          <w:sz w:val="32"/>
          <w:szCs w:val="32"/>
        </w:rPr>
        <w:t>　</w:t>
      </w:r>
      <w:r>
        <w:rPr>
          <w:rFonts w:hint="eastAsia" w:ascii="仿宋_GB2312" w:eastAsia="仿宋_GB2312"/>
          <w:kern w:val="0"/>
          <w:sz w:val="32"/>
          <w:szCs w:val="32"/>
        </w:rPr>
        <w:t>当事人既有从轻或者减轻行政处罚情节，又有从重行政处罚情节的，市场监管部门应当结合案件情况综合考虑后作出裁量决定。</w:t>
      </w:r>
    </w:p>
    <w:p w14:paraId="3A1B32ED">
      <w:pPr>
        <w:spacing w:line="560" w:lineRule="exact"/>
        <w:ind w:firstLine="640" w:firstLineChars="200"/>
        <w:rPr>
          <w:rFonts w:hint="eastAsia" w:ascii="仿宋_GB2312" w:eastAsia="仿宋_GB2312"/>
          <w:kern w:val="0"/>
          <w:sz w:val="32"/>
          <w:szCs w:val="32"/>
        </w:rPr>
      </w:pPr>
      <w:bookmarkStart w:id="1" w:name="_Hlk182662383"/>
      <w:r>
        <w:rPr>
          <w:rFonts w:ascii="黑体" w:hAnsi="黑体" w:eastAsia="黑体"/>
          <w:kern w:val="0"/>
          <w:sz w:val="32"/>
          <w:szCs w:val="32"/>
        </w:rPr>
        <w:t>第二十三条</w:t>
      </w:r>
      <w:bookmarkEnd w:id="1"/>
      <w:r>
        <w:rPr>
          <w:rFonts w:ascii="Times New Roman" w:hAnsi="Times New Roman" w:eastAsia="方正仿宋_GBK"/>
          <w:sz w:val="32"/>
          <w:szCs w:val="32"/>
        </w:rPr>
        <w:t xml:space="preserve">  </w:t>
      </w:r>
      <w:r>
        <w:rPr>
          <w:rFonts w:ascii="仿宋_GB2312" w:eastAsia="仿宋_GB2312"/>
          <w:kern w:val="0"/>
          <w:sz w:val="32"/>
          <w:szCs w:val="32"/>
        </w:rPr>
        <w:t>在立案之前的核查阶段已查清事实，有充分证据证明当事人违法行为应当不予处罚的，责令当事人改正并依法进行教育，可以不予立案。不予立案的，应当填写不予立案审批表，报市场监管部门负责人批准</w:t>
      </w:r>
      <w:r>
        <w:rPr>
          <w:rFonts w:hint="eastAsia" w:ascii="仿宋_GB2312" w:eastAsia="仿宋_GB2312"/>
          <w:kern w:val="0"/>
          <w:sz w:val="32"/>
          <w:szCs w:val="32"/>
        </w:rPr>
        <w:t>，核查材料、不予立案审批表等留档备查。</w:t>
      </w:r>
    </w:p>
    <w:p w14:paraId="4570589C">
      <w:pPr>
        <w:adjustRightInd w:val="0"/>
        <w:snapToGrid w:val="0"/>
        <w:spacing w:line="560" w:lineRule="exact"/>
        <w:ind w:firstLine="640" w:firstLineChars="200"/>
        <w:rPr>
          <w:rFonts w:ascii="仿宋_GB2312" w:eastAsia="仿宋_GB2312"/>
          <w:kern w:val="0"/>
          <w:sz w:val="32"/>
          <w:szCs w:val="32"/>
        </w:rPr>
      </w:pPr>
      <w:r>
        <w:rPr>
          <w:rFonts w:ascii="黑体" w:hAnsi="黑体" w:eastAsia="黑体"/>
          <w:kern w:val="0"/>
          <w:sz w:val="32"/>
          <w:szCs w:val="32"/>
        </w:rPr>
        <w:t>第二十四条</w:t>
      </w:r>
      <w:r>
        <w:rPr>
          <w:rFonts w:hint="eastAsia" w:ascii="Times New Roman" w:eastAsia="方正黑体_GBK"/>
          <w:kern w:val="0"/>
          <w:sz w:val="32"/>
          <w:szCs w:val="32"/>
        </w:rPr>
        <w:t xml:space="preserve">  </w:t>
      </w:r>
      <w:r>
        <w:rPr>
          <w:rFonts w:hint="eastAsia" w:ascii="仿宋_GB2312" w:eastAsia="仿宋_GB2312"/>
          <w:kern w:val="0"/>
          <w:sz w:val="32"/>
          <w:szCs w:val="32"/>
        </w:rPr>
        <w:t>在立案后查清事实，拟作出不予行政处罚或者从轻、减轻行政处罚决定的，应当依照相关程序要求办理，制发《不予行政处罚决定书》或者《行政处罚决定书》，阐明裁量的事实和理由，并说明裁量依据适用情况。结案后按照《市场监督管理行政处罚程序规定》第七十八条的规定予以立卷归档备查。</w:t>
      </w:r>
    </w:p>
    <w:p w14:paraId="7467AD57">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对减轻行政处罚的案件和立案后认定违法事实成立但综合裁量不予行政处罚的案件，应当由办案机构或者办案机关进行集体讨论。</w:t>
      </w:r>
    </w:p>
    <w:p w14:paraId="1B9D52BF">
      <w:pPr>
        <w:adjustRightInd w:val="0"/>
        <w:snapToGrid w:val="0"/>
        <w:spacing w:line="560" w:lineRule="exact"/>
        <w:ind w:firstLine="640" w:firstLineChars="200"/>
        <w:rPr>
          <w:rFonts w:ascii="仿宋_GB2312" w:eastAsia="仿宋_GB2312"/>
          <w:kern w:val="0"/>
          <w:sz w:val="32"/>
          <w:szCs w:val="32"/>
        </w:rPr>
      </w:pPr>
      <w:r>
        <w:rPr>
          <w:rFonts w:ascii="黑体" w:hAnsi="黑体" w:eastAsia="黑体"/>
          <w:kern w:val="0"/>
          <w:sz w:val="32"/>
          <w:szCs w:val="32"/>
        </w:rPr>
        <w:t>第二十五条</w:t>
      </w:r>
      <w:r>
        <w:rPr>
          <w:rFonts w:ascii="Times New Roman" w:hAnsi="Times New Roman" w:eastAsia="方正仿宋_GBK"/>
          <w:sz w:val="32"/>
          <w:szCs w:val="32"/>
        </w:rPr>
        <w:t xml:space="preserve">  </w:t>
      </w:r>
      <w:r>
        <w:rPr>
          <w:rFonts w:ascii="仿宋_GB2312" w:eastAsia="仿宋_GB2312"/>
          <w:kern w:val="0"/>
          <w:sz w:val="32"/>
          <w:szCs w:val="32"/>
        </w:rPr>
        <w:t>责令改正的期限按照法律、法规、规章或者技术规范的规定执行。法律、法规、规章或者技术规范没有规定的，应当按照违法行为的实际情形确定合理期限，一般不超过</w:t>
      </w:r>
      <w:r>
        <w:rPr>
          <w:rFonts w:ascii="Times New Roman" w:hAnsi="Times New Roman" w:eastAsia="仿宋_GB2312"/>
          <w:kern w:val="0"/>
          <w:sz w:val="32"/>
          <w:szCs w:val="32"/>
        </w:rPr>
        <w:t>30</w:t>
      </w:r>
      <w:r>
        <w:rPr>
          <w:rFonts w:ascii="仿宋_GB2312" w:eastAsia="仿宋_GB2312"/>
          <w:kern w:val="0"/>
          <w:sz w:val="32"/>
          <w:szCs w:val="32"/>
        </w:rPr>
        <w:t>日。</w:t>
      </w:r>
    </w:p>
    <w:p w14:paraId="4067F7C4">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第二十六条</w:t>
      </w:r>
      <w:r>
        <w:rPr>
          <w:rFonts w:ascii="Times New Roman" w:hAnsi="Times New Roman" w:eastAsia="方正仿宋_GBK"/>
          <w:sz w:val="32"/>
          <w:szCs w:val="32"/>
        </w:rPr>
        <w:t xml:space="preserve">  </w:t>
      </w:r>
      <w:r>
        <w:rPr>
          <w:rFonts w:ascii="仿宋_GB2312" w:eastAsia="仿宋_GB2312"/>
          <w:kern w:val="0"/>
          <w:sz w:val="32"/>
          <w:szCs w:val="32"/>
        </w:rPr>
        <w:t>当事人有下列情形之一的，原则上不予实施行政强制措施，但不足以制止违法行为、防止证据损毁、避免危害发生、控制危险扩大的除外：</w:t>
      </w:r>
    </w:p>
    <w:p w14:paraId="265C9D2D">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（一）本办法所附免处罚清单规定的违法行为；</w:t>
      </w:r>
    </w:p>
    <w:p w14:paraId="41D0D6C6">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（二）本办法所附免强制清单规定的违法行为；</w:t>
      </w:r>
    </w:p>
    <w:p w14:paraId="5AF89483">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（三）违法行为没有明显社会危害，且当事人及时改正违法行为、配合调查取证的，但依法应当没收或者销毁的涉案财物除外；</w:t>
      </w:r>
    </w:p>
    <w:p w14:paraId="1565CB57">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（四）对涉案的合同、票据、账簿、凭证等资料，执法人员采取信息化手段或者通过影印、复印等方式能够及时有效固定证据的；</w:t>
      </w:r>
    </w:p>
    <w:p w14:paraId="641FB7A2">
      <w:pPr>
        <w:spacing w:line="560" w:lineRule="exact"/>
        <w:ind w:firstLine="640" w:firstLineChars="200"/>
        <w:rPr>
          <w:rFonts w:ascii="仿宋_GB2312" w:eastAsia="仿宋_GB2312"/>
          <w:kern w:val="0"/>
          <w:sz w:val="32"/>
          <w:szCs w:val="32"/>
        </w:rPr>
      </w:pPr>
      <w:r>
        <w:rPr>
          <w:rFonts w:ascii="仿宋_GB2312" w:eastAsia="仿宋_GB2312"/>
          <w:kern w:val="0"/>
          <w:sz w:val="32"/>
          <w:szCs w:val="32"/>
        </w:rPr>
        <w:t>（五）对涉案的生产经营工具、设备、设施、场所，若实施行政强制措施会对本市生产生活必需物资供给产生重大影响，且当事人及时改正违法行为、配合调查取证的。</w:t>
      </w:r>
    </w:p>
    <w:p w14:paraId="1ED6F85F">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第二十七条</w:t>
      </w:r>
      <w:r>
        <w:rPr>
          <w:rFonts w:ascii="Times New Roman" w:hAnsi="Times New Roman" w:eastAsia="方正仿宋_GBK"/>
          <w:b/>
          <w:kern w:val="0"/>
          <w:sz w:val="32"/>
          <w:szCs w:val="32"/>
        </w:rPr>
        <w:t xml:space="preserve">  </w:t>
      </w:r>
      <w:r>
        <w:rPr>
          <w:rFonts w:ascii="仿宋_GB2312" w:eastAsia="仿宋_GB2312"/>
          <w:kern w:val="0"/>
          <w:sz w:val="32"/>
          <w:szCs w:val="32"/>
        </w:rPr>
        <w:t>当事人违法行为不符合本办法所附清单中所列条件，或者未列入清单的，市场监管部门应当按照《行政处罚法》《行政强制法》等法律法规规章，参照本办法，综合裁量作出相应决定。</w:t>
      </w:r>
    </w:p>
    <w:p w14:paraId="56CC427B">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二</w:t>
      </w:r>
      <w:r>
        <w:rPr>
          <w:rFonts w:ascii="黑体" w:hAnsi="黑体" w:eastAsia="黑体"/>
          <w:kern w:val="0"/>
          <w:sz w:val="32"/>
          <w:szCs w:val="32"/>
        </w:rPr>
        <w:t>十八条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对触及安全底线、严重危害公民生命健康安全、严重侵犯知识产权、严重危害市场公平竞争秩序以及其他具有从重处罚情节的违法行为，不适用本办法。</w:t>
      </w:r>
    </w:p>
    <w:p w14:paraId="003424D8">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第二十九条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在自然灾害、事故灾难、公共卫生、公共安全等突发事件中实施违反突发事件应对措施的行为的，不适用本办法。</w:t>
      </w:r>
    </w:p>
    <w:p w14:paraId="37A18007">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三</w:t>
      </w:r>
      <w:r>
        <w:rPr>
          <w:rFonts w:ascii="黑体" w:hAnsi="黑体" w:eastAsia="黑体"/>
          <w:kern w:val="0"/>
          <w:sz w:val="32"/>
          <w:szCs w:val="32"/>
        </w:rPr>
        <w:t>十条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本办法施行后，法律法规规章或者上级文件另有规定的，从其规定。</w:t>
      </w:r>
    </w:p>
    <w:p w14:paraId="593FE521">
      <w:pPr>
        <w:spacing w:line="560" w:lineRule="exact"/>
        <w:ind w:firstLine="640" w:firstLineChars="200"/>
        <w:rPr>
          <w:rFonts w:ascii="仿宋_GB2312"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三</w:t>
      </w:r>
      <w:r>
        <w:rPr>
          <w:rFonts w:ascii="黑体" w:hAnsi="黑体" w:eastAsia="黑体"/>
          <w:kern w:val="0"/>
          <w:sz w:val="32"/>
          <w:szCs w:val="32"/>
        </w:rPr>
        <w:t>十一条</w:t>
      </w:r>
      <w:r>
        <w:rPr>
          <w:rFonts w:ascii="Times New Roman" w:hAnsi="Times New Roman" w:eastAsia="方正黑体_GBK"/>
          <w:kern w:val="0"/>
          <w:sz w:val="32"/>
          <w:szCs w:val="32"/>
        </w:rPr>
        <w:t xml:space="preserve"> </w:t>
      </w:r>
      <w:r>
        <w:rPr>
          <w:rFonts w:ascii="Times New Roman" w:hAnsi="Times New Roman" w:eastAsia="方正仿宋_GBK"/>
          <w:sz w:val="32"/>
          <w:szCs w:val="32"/>
        </w:rPr>
        <w:t xml:space="preserve"> </w:t>
      </w:r>
      <w:r>
        <w:rPr>
          <w:rFonts w:ascii="仿宋_GB2312" w:eastAsia="仿宋_GB2312"/>
          <w:kern w:val="0"/>
          <w:sz w:val="32"/>
          <w:szCs w:val="32"/>
        </w:rPr>
        <w:t>本办法自</w:t>
      </w:r>
      <w:r>
        <w:rPr>
          <w:rFonts w:ascii="Times New Roman" w:hAnsi="Times New Roman" w:eastAsia="仿宋_GB2312"/>
          <w:kern w:val="0"/>
          <w:sz w:val="32"/>
          <w:szCs w:val="32"/>
        </w:rPr>
        <w:t>2025</w:t>
      </w:r>
      <w:r>
        <w:rPr>
          <w:rFonts w:ascii="仿宋_GB2312" w:eastAsia="仿宋_GB2312"/>
          <w:kern w:val="0"/>
          <w:sz w:val="32"/>
          <w:szCs w:val="32"/>
        </w:rPr>
        <w:t>年</w:t>
      </w:r>
      <w:r>
        <w:rPr>
          <w:rFonts w:ascii="Times New Roman" w:hAnsi="Times New Roman" w:eastAsia="仿宋_GB2312"/>
          <w:kern w:val="0"/>
          <w:sz w:val="32"/>
          <w:szCs w:val="32"/>
        </w:rPr>
        <w:t>4</w:t>
      </w:r>
      <w:r>
        <w:rPr>
          <w:rFonts w:ascii="仿宋_GB2312" w:eastAsia="仿宋_GB2312"/>
          <w:kern w:val="0"/>
          <w:sz w:val="32"/>
          <w:szCs w:val="32"/>
        </w:rPr>
        <w:t>月</w:t>
      </w:r>
      <w:r>
        <w:rPr>
          <w:rFonts w:ascii="Times New Roman" w:hAnsi="Times New Roman" w:eastAsia="仿宋_GB2312"/>
          <w:kern w:val="0"/>
          <w:sz w:val="32"/>
          <w:szCs w:val="32"/>
        </w:rPr>
        <w:t>1</w:t>
      </w:r>
      <w:r>
        <w:rPr>
          <w:rFonts w:ascii="仿宋_GB2312" w:eastAsia="仿宋_GB2312"/>
          <w:kern w:val="0"/>
          <w:sz w:val="32"/>
          <w:szCs w:val="32"/>
        </w:rPr>
        <w:t>日起施行，有效期至</w:t>
      </w:r>
      <w:r>
        <w:rPr>
          <w:rFonts w:ascii="Times New Roman" w:hAnsi="Times New Roman" w:eastAsia="仿宋_GB2312"/>
          <w:kern w:val="0"/>
          <w:sz w:val="32"/>
          <w:szCs w:val="32"/>
        </w:rPr>
        <w:t>2030</w:t>
      </w:r>
      <w:r>
        <w:rPr>
          <w:rFonts w:ascii="仿宋_GB2312" w:eastAsia="仿宋_GB2312"/>
          <w:kern w:val="0"/>
          <w:sz w:val="32"/>
          <w:szCs w:val="32"/>
        </w:rPr>
        <w:t>年</w:t>
      </w:r>
      <w:r>
        <w:rPr>
          <w:rFonts w:ascii="Times New Roman" w:hAnsi="Times New Roman" w:eastAsia="仿宋_GB2312"/>
          <w:kern w:val="0"/>
          <w:sz w:val="32"/>
          <w:szCs w:val="32"/>
        </w:rPr>
        <w:t>3</w:t>
      </w:r>
      <w:r>
        <w:rPr>
          <w:rFonts w:ascii="仿宋_GB2312" w:eastAsia="仿宋_GB2312"/>
          <w:kern w:val="0"/>
          <w:sz w:val="32"/>
          <w:szCs w:val="32"/>
        </w:rPr>
        <w:t>月</w:t>
      </w:r>
      <w:r>
        <w:rPr>
          <w:rFonts w:ascii="Times New Roman" w:hAnsi="Times New Roman" w:eastAsia="仿宋_GB2312"/>
          <w:kern w:val="0"/>
          <w:sz w:val="32"/>
          <w:szCs w:val="32"/>
        </w:rPr>
        <w:t>31</w:t>
      </w:r>
      <w:r>
        <w:rPr>
          <w:rFonts w:ascii="仿宋_GB2312" w:eastAsia="仿宋_GB2312"/>
          <w:kern w:val="0"/>
          <w:sz w:val="32"/>
          <w:szCs w:val="32"/>
        </w:rPr>
        <w:t>日。</w:t>
      </w:r>
      <w:r>
        <w:rPr>
          <w:rFonts w:ascii="Times New Roman" w:hAnsi="Times New Roman" w:eastAsia="仿宋_GB2312"/>
          <w:kern w:val="0"/>
          <w:sz w:val="32"/>
          <w:szCs w:val="32"/>
        </w:rPr>
        <w:t>2022</w:t>
      </w:r>
      <w:r>
        <w:rPr>
          <w:rFonts w:ascii="仿宋_GB2312" w:eastAsia="仿宋_GB2312"/>
          <w:kern w:val="0"/>
          <w:sz w:val="32"/>
          <w:szCs w:val="32"/>
        </w:rPr>
        <w:t>年</w:t>
      </w:r>
      <w:r>
        <w:rPr>
          <w:rFonts w:ascii="Times New Roman" w:hAnsi="Times New Roman" w:eastAsia="仿宋_GB2312"/>
          <w:kern w:val="0"/>
          <w:sz w:val="32"/>
          <w:szCs w:val="32"/>
        </w:rPr>
        <w:t>9</w:t>
      </w:r>
      <w:r>
        <w:rPr>
          <w:rFonts w:ascii="仿宋_GB2312" w:eastAsia="仿宋_GB2312"/>
          <w:kern w:val="0"/>
          <w:sz w:val="32"/>
          <w:szCs w:val="32"/>
        </w:rPr>
        <w:t>月</w:t>
      </w:r>
      <w:r>
        <w:rPr>
          <w:rFonts w:ascii="Times New Roman" w:hAnsi="Times New Roman" w:eastAsia="仿宋_GB2312"/>
          <w:kern w:val="0"/>
          <w:sz w:val="32"/>
          <w:szCs w:val="32"/>
        </w:rPr>
        <w:t>15</w:t>
      </w:r>
      <w:r>
        <w:rPr>
          <w:rFonts w:ascii="仿宋_GB2312" w:eastAsia="仿宋_GB2312"/>
          <w:kern w:val="0"/>
          <w:sz w:val="32"/>
          <w:szCs w:val="32"/>
        </w:rPr>
        <w:t>日公布的</w:t>
      </w:r>
      <w:r>
        <w:rPr>
          <w:rFonts w:hint="eastAsia" w:ascii="仿宋_GB2312" w:eastAsia="仿宋_GB2312"/>
          <w:kern w:val="0"/>
          <w:sz w:val="32"/>
          <w:szCs w:val="32"/>
        </w:rPr>
        <w:t>《连云港市市场监管领域轻微违法行为从轻处罚、减轻处罚、不予处罚、不予强制实施办法》</w:t>
      </w:r>
      <w:r>
        <w:rPr>
          <w:rFonts w:ascii="仿宋_GB2312" w:eastAsia="仿宋_GB2312"/>
          <w:kern w:val="0"/>
          <w:sz w:val="32"/>
          <w:szCs w:val="32"/>
        </w:rPr>
        <w:t>同时废止。</w:t>
      </w:r>
      <w:r>
        <w:rPr>
          <w:rFonts w:hint="eastAsia" w:ascii="仿宋_GB2312" w:eastAsia="仿宋_GB2312"/>
          <w:kern w:val="0"/>
          <w:sz w:val="32"/>
          <w:szCs w:val="32"/>
        </w:rPr>
        <w:t xml:space="preserve"> </w:t>
      </w:r>
    </w:p>
    <w:p w14:paraId="76201452">
      <w:pPr>
        <w:spacing w:line="540" w:lineRule="exact"/>
        <w:ind w:firstLine="640" w:firstLineChars="200"/>
        <w:rPr>
          <w:rFonts w:ascii="Times New Roman" w:hAnsi="Times New Roman" w:eastAsia="方正仿宋_GBK"/>
          <w:sz w:val="32"/>
          <w:szCs w:val="32"/>
        </w:rPr>
      </w:pPr>
    </w:p>
    <w:p w14:paraId="002B25E9">
      <w:pPr>
        <w:spacing w:line="540" w:lineRule="exact"/>
        <w:ind w:left="1600" w:leftChars="200" w:hanging="960" w:hangingChars="300"/>
        <w:rPr>
          <w:rFonts w:hint="eastAsia" w:ascii="仿宋_GB2312" w:eastAsia="仿宋_GB2312"/>
          <w:kern w:val="0"/>
          <w:sz w:val="32"/>
          <w:szCs w:val="32"/>
        </w:rPr>
      </w:pPr>
      <w:r>
        <w:rPr>
          <w:rFonts w:ascii="仿宋_GB2312" w:eastAsia="仿宋_GB2312"/>
          <w:kern w:val="0"/>
          <w:sz w:val="32"/>
          <w:szCs w:val="32"/>
        </w:rPr>
        <w:t>附件</w:t>
      </w:r>
      <w:r>
        <w:rPr>
          <w:rFonts w:hint="eastAsia" w:ascii="仿宋_GB2312"/>
          <w:kern w:val="0"/>
          <w:sz w:val="32"/>
          <w:szCs w:val="32"/>
          <w:lang w:eastAsia="zh-CN"/>
        </w:rPr>
        <w:t>：</w:t>
      </w:r>
      <w:r>
        <w:rPr>
          <w:rFonts w:ascii="Times New Roman" w:hAnsi="Times New Roman" w:eastAsia="仿宋_GB2312"/>
          <w:kern w:val="0"/>
          <w:sz w:val="32"/>
          <w:szCs w:val="32"/>
        </w:rPr>
        <w:t>1</w:t>
      </w:r>
      <w:r>
        <w:rPr>
          <w:rFonts w:ascii="仿宋_GB2312" w:eastAsia="仿宋_GB2312"/>
          <w:kern w:val="0"/>
          <w:sz w:val="32"/>
          <w:szCs w:val="32"/>
        </w:rPr>
        <w:t>.连云港市市场监管领域轻微违法行为不予处罚清单</w:t>
      </w:r>
      <w:r>
        <w:rPr>
          <w:rFonts w:hint="eastAsia" w:ascii="仿宋_GB2312" w:eastAsia="仿宋_GB2312"/>
          <w:kern w:val="0"/>
          <w:sz w:val="32"/>
          <w:szCs w:val="32"/>
        </w:rPr>
        <w:t>（</w:t>
      </w:r>
      <w:r>
        <w:rPr>
          <w:rFonts w:ascii="Times New Roman" w:hAnsi="Times New Roman" w:eastAsia="仿宋_GB2312"/>
          <w:kern w:val="0"/>
          <w:sz w:val="32"/>
          <w:szCs w:val="32"/>
        </w:rPr>
        <w:t>2025</w:t>
      </w:r>
      <w:r>
        <w:rPr>
          <w:rFonts w:hint="eastAsia" w:ascii="仿宋_GB2312" w:eastAsia="仿宋_GB2312"/>
          <w:kern w:val="0"/>
          <w:sz w:val="32"/>
          <w:szCs w:val="32"/>
        </w:rPr>
        <w:t>年版）</w:t>
      </w:r>
    </w:p>
    <w:p w14:paraId="7A842A9F">
      <w:pPr>
        <w:spacing w:line="540" w:lineRule="exact"/>
        <w:ind w:left="1600" w:leftChars="500" w:firstLine="0" w:firstLineChars="0"/>
        <w:rPr>
          <w:rFonts w:ascii="仿宋_GB2312" w:eastAsia="仿宋_GB2312"/>
          <w:kern w:val="0"/>
          <w:sz w:val="32"/>
          <w:szCs w:val="32"/>
        </w:rPr>
      </w:pPr>
      <w:r>
        <w:rPr>
          <w:rFonts w:ascii="Times New Roman" w:hAnsi="Times New Roman" w:eastAsia="仿宋_GB2312"/>
          <w:kern w:val="0"/>
          <w:sz w:val="32"/>
          <w:szCs w:val="32"/>
        </w:rPr>
        <w:t>2</w:t>
      </w:r>
      <w:r>
        <w:rPr>
          <w:rFonts w:hint="eastAsia" w:ascii="仿宋_GB2312" w:eastAsia="仿宋_GB2312"/>
          <w:kern w:val="0"/>
          <w:sz w:val="32"/>
          <w:szCs w:val="32"/>
        </w:rPr>
        <w:t>.</w:t>
      </w:r>
      <w:r>
        <w:rPr>
          <w:rFonts w:ascii="仿宋_GB2312" w:eastAsia="仿宋_GB2312"/>
          <w:kern w:val="0"/>
          <w:sz w:val="32"/>
          <w:szCs w:val="32"/>
        </w:rPr>
        <w:t>连云港市市场监管领域轻微违法行为减轻处罚清单</w:t>
      </w:r>
      <w:r>
        <w:rPr>
          <w:rFonts w:hint="eastAsia" w:ascii="仿宋_GB2312" w:eastAsia="仿宋_GB2312"/>
          <w:kern w:val="0"/>
          <w:sz w:val="32"/>
          <w:szCs w:val="32"/>
        </w:rPr>
        <w:t>（</w:t>
      </w:r>
      <w:r>
        <w:rPr>
          <w:rFonts w:ascii="Times New Roman" w:hAnsi="Times New Roman" w:eastAsia="仿宋_GB2312"/>
          <w:kern w:val="0"/>
          <w:sz w:val="32"/>
          <w:szCs w:val="32"/>
        </w:rPr>
        <w:t>2025</w:t>
      </w:r>
      <w:r>
        <w:rPr>
          <w:rFonts w:hint="eastAsia" w:ascii="仿宋_GB2312" w:eastAsia="仿宋_GB2312"/>
          <w:kern w:val="0"/>
          <w:sz w:val="32"/>
          <w:szCs w:val="32"/>
        </w:rPr>
        <w:t>年版）</w:t>
      </w:r>
    </w:p>
    <w:p w14:paraId="2FD67299">
      <w:pPr>
        <w:spacing w:line="600" w:lineRule="exact"/>
        <w:ind w:left="1600" w:leftChars="500" w:firstLine="0" w:firstLineChars="0"/>
        <w:rPr>
          <w:rFonts w:hint="eastAsia" w:ascii="仿宋_GB2312" w:hAnsi="仿宋_GB2312" w:eastAsia="仿宋_GB2312" w:cs="仿宋_GB2312"/>
          <w:color w:val="auto"/>
          <w:szCs w:val="32"/>
        </w:rPr>
      </w:pPr>
      <w:bookmarkStart w:id="2" w:name="_Hlk182067900"/>
      <w:r>
        <w:rPr>
          <w:rFonts w:ascii="Times New Roman" w:hAnsi="Times New Roman" w:eastAsia="仿宋_GB2312"/>
          <w:kern w:val="0"/>
          <w:sz w:val="32"/>
          <w:szCs w:val="32"/>
        </w:rPr>
        <w:t>3</w:t>
      </w:r>
      <w:r>
        <w:rPr>
          <w:rFonts w:ascii="仿宋_GB2312" w:eastAsia="仿宋_GB2312"/>
          <w:kern w:val="0"/>
          <w:sz w:val="32"/>
          <w:szCs w:val="32"/>
        </w:rPr>
        <w:t>.</w:t>
      </w:r>
      <w:bookmarkEnd w:id="2"/>
      <w:r>
        <w:rPr>
          <w:rFonts w:ascii="仿宋_GB2312" w:eastAsia="仿宋_GB2312"/>
          <w:kern w:val="0"/>
          <w:sz w:val="32"/>
          <w:szCs w:val="32"/>
        </w:rPr>
        <w:t>连云港市市场监管领域轻微违法行为不予强制清单</w:t>
      </w:r>
      <w:r>
        <w:rPr>
          <w:rFonts w:hint="eastAsia" w:ascii="仿宋_GB2312" w:eastAsia="仿宋_GB2312"/>
          <w:kern w:val="0"/>
          <w:sz w:val="32"/>
          <w:szCs w:val="32"/>
        </w:rPr>
        <w:t>（</w:t>
      </w:r>
      <w:r>
        <w:rPr>
          <w:rFonts w:ascii="Times New Roman" w:hAnsi="Times New Roman" w:eastAsia="仿宋_GB2312"/>
          <w:kern w:val="0"/>
          <w:sz w:val="32"/>
          <w:szCs w:val="32"/>
        </w:rPr>
        <w:t>2025</w:t>
      </w:r>
      <w:r>
        <w:rPr>
          <w:rFonts w:hint="eastAsia" w:ascii="仿宋_GB2312" w:eastAsia="仿宋_GB2312"/>
          <w:kern w:val="0"/>
          <w:sz w:val="32"/>
          <w:szCs w:val="32"/>
        </w:rPr>
        <w:t>年版）</w:t>
      </w:r>
    </w:p>
    <w:p w14:paraId="5F1BE81D">
      <w:pPr>
        <w:spacing w:line="600" w:lineRule="exact"/>
        <w:ind w:firstLine="640"/>
        <w:rPr>
          <w:rFonts w:ascii="仿宋_GB2312"/>
          <w:szCs w:val="32"/>
        </w:rPr>
      </w:pPr>
    </w:p>
    <w:p w14:paraId="010BA55C">
      <w:pPr>
        <w:spacing w:line="600" w:lineRule="exact"/>
        <w:ind w:firstLine="640"/>
        <w:rPr>
          <w:rFonts w:ascii="仿宋_GB2312"/>
          <w:szCs w:val="32"/>
        </w:rPr>
      </w:pPr>
    </w:p>
    <w:p w14:paraId="7BAB73E2">
      <w:pPr>
        <w:pStyle w:val="12"/>
        <w:rPr>
          <w:rFonts w:ascii="仿宋_GB2312"/>
          <w:szCs w:val="32"/>
        </w:rPr>
      </w:pPr>
    </w:p>
    <w:p w14:paraId="58550443">
      <w:pPr>
        <w:pStyle w:val="12"/>
        <w:rPr>
          <w:rFonts w:ascii="仿宋_GB2312"/>
          <w:szCs w:val="32"/>
        </w:rPr>
      </w:pPr>
    </w:p>
    <w:p w14:paraId="77D5DB69">
      <w:pPr>
        <w:pStyle w:val="12"/>
        <w:rPr>
          <w:rFonts w:ascii="仿宋_GB2312"/>
          <w:szCs w:val="32"/>
        </w:rPr>
      </w:pPr>
    </w:p>
    <w:p w14:paraId="2ADA17E3">
      <w:pPr>
        <w:pStyle w:val="12"/>
        <w:rPr>
          <w:rFonts w:ascii="仿宋_GB2312"/>
          <w:szCs w:val="32"/>
        </w:rPr>
      </w:pPr>
    </w:p>
    <w:p w14:paraId="4D1DCAB5">
      <w:pPr>
        <w:pStyle w:val="12"/>
        <w:rPr>
          <w:rFonts w:ascii="仿宋_GB2312"/>
          <w:szCs w:val="32"/>
        </w:rPr>
      </w:pPr>
    </w:p>
    <w:p w14:paraId="3B17FC3B">
      <w:pPr>
        <w:pStyle w:val="12"/>
        <w:rPr>
          <w:rFonts w:ascii="仿宋_GB2312"/>
          <w:szCs w:val="32"/>
        </w:rPr>
      </w:pPr>
    </w:p>
    <w:p w14:paraId="4D065DFE">
      <w:pPr>
        <w:pStyle w:val="12"/>
        <w:rPr>
          <w:rFonts w:ascii="仿宋_GB2312"/>
          <w:szCs w:val="32"/>
        </w:rPr>
      </w:pPr>
    </w:p>
    <w:p w14:paraId="310296D5">
      <w:pPr>
        <w:pStyle w:val="12"/>
        <w:rPr>
          <w:rFonts w:ascii="仿宋_GB2312"/>
          <w:szCs w:val="32"/>
        </w:rPr>
      </w:pPr>
    </w:p>
    <w:p w14:paraId="2E2F67B2">
      <w:pPr>
        <w:pStyle w:val="12"/>
        <w:rPr>
          <w:rFonts w:ascii="仿宋_GB2312"/>
          <w:szCs w:val="32"/>
        </w:rPr>
      </w:pPr>
    </w:p>
    <w:p w14:paraId="2E6CF1BF">
      <w:pPr>
        <w:pStyle w:val="12"/>
        <w:rPr>
          <w:rFonts w:ascii="仿宋_GB2312"/>
          <w:szCs w:val="32"/>
        </w:rPr>
      </w:pPr>
    </w:p>
    <w:p w14:paraId="20D3E7DF">
      <w:pPr>
        <w:pStyle w:val="12"/>
        <w:rPr>
          <w:rFonts w:ascii="仿宋_GB2312"/>
          <w:szCs w:val="32"/>
        </w:rPr>
      </w:pPr>
    </w:p>
    <w:p w14:paraId="48DA79C8">
      <w:pPr>
        <w:pStyle w:val="12"/>
        <w:rPr>
          <w:rFonts w:ascii="仿宋_GB2312"/>
          <w:szCs w:val="32"/>
        </w:rPr>
      </w:pPr>
    </w:p>
    <w:p w14:paraId="0C203E64">
      <w:pPr>
        <w:pStyle w:val="12"/>
        <w:rPr>
          <w:rFonts w:ascii="仿宋_GB2312"/>
          <w:szCs w:val="32"/>
        </w:rPr>
      </w:pPr>
    </w:p>
    <w:p w14:paraId="4BAA9A8E">
      <w:pPr>
        <w:pStyle w:val="12"/>
        <w:rPr>
          <w:rFonts w:ascii="仿宋_GB2312"/>
          <w:szCs w:val="32"/>
        </w:rPr>
      </w:pPr>
    </w:p>
    <w:p w14:paraId="3AECF685">
      <w:pPr>
        <w:pStyle w:val="12"/>
        <w:rPr>
          <w:rFonts w:ascii="仿宋_GB2312"/>
          <w:szCs w:val="32"/>
        </w:rPr>
        <w:sectPr>
          <w:headerReference r:id="rId3" w:type="default"/>
          <w:footerReference r:id="rId4" w:type="default"/>
          <w:pgSz w:w="11910" w:h="16840"/>
          <w:pgMar w:top="1431" w:right="1125" w:bottom="1710" w:left="1214" w:header="1" w:footer="567" w:gutter="0"/>
          <w:pgNumType w:fmt="decimal" w:start="1"/>
          <w:cols w:space="720" w:num="1"/>
        </w:sectPr>
      </w:pPr>
    </w:p>
    <w:p w14:paraId="2C3E4357">
      <w:pPr>
        <w:spacing w:beforeLines="0" w:afterLines="0" w:line="420" w:lineRule="exact"/>
        <w:ind w:left="-587" w:leftChars="-473" w:hanging="817" w:hangingChars="275"/>
        <w:rPr>
          <w:rFonts w:hint="eastAsia" w:ascii="黑体" w:hAnsi="黑体" w:eastAsia="黑体"/>
          <w:kern w:val="0"/>
          <w:sz w:val="32"/>
          <w:szCs w:val="24"/>
        </w:rPr>
      </w:pPr>
      <w:r>
        <w:rPr>
          <w:rFonts w:hint="eastAsia" w:ascii="黑体" w:hAnsi="黑体" w:eastAsia="黑体"/>
          <w:kern w:val="0"/>
          <w:sz w:val="32"/>
          <w:szCs w:val="24"/>
        </w:rPr>
        <w:t>附件</w:t>
      </w:r>
      <w:r>
        <w:rPr>
          <w:rFonts w:hint="default" w:ascii="Times New Roman" w:hAnsi="Times New Roman" w:eastAsia="黑体"/>
          <w:kern w:val="0"/>
          <w:sz w:val="32"/>
          <w:szCs w:val="24"/>
        </w:rPr>
        <w:t>1</w:t>
      </w:r>
    </w:p>
    <w:p w14:paraId="516806B5">
      <w:pPr>
        <w:spacing w:beforeLines="0" w:afterLines="0" w:line="500" w:lineRule="exact"/>
        <w:jc w:val="center"/>
        <w:rPr>
          <w:rFonts w:hint="default" w:ascii="Times New Roman" w:hAnsi="Times New Roman" w:eastAsia="方正小标宋_GBK"/>
          <w:kern w:val="0"/>
          <w:sz w:val="44"/>
          <w:szCs w:val="24"/>
        </w:rPr>
      </w:pPr>
      <w:r>
        <w:rPr>
          <w:rFonts w:hint="eastAsia" w:ascii="Times New Roman" w:hAnsi="Times New Roman" w:eastAsia="方正小标宋_GBK"/>
          <w:kern w:val="0"/>
          <w:sz w:val="44"/>
          <w:szCs w:val="24"/>
        </w:rPr>
        <w:t>连云港市市场监管领域轻微违法行为不予处罚清单（</w:t>
      </w:r>
      <w:r>
        <w:rPr>
          <w:rFonts w:hint="default" w:ascii="Times New Roman" w:hAnsi="Times New Roman" w:eastAsia="方正小标宋_GBK"/>
          <w:kern w:val="0"/>
          <w:sz w:val="44"/>
          <w:szCs w:val="24"/>
        </w:rPr>
        <w:t>2025</w:t>
      </w:r>
      <w:r>
        <w:rPr>
          <w:rFonts w:hint="eastAsia" w:ascii="Times New Roman" w:hAnsi="Times New Roman" w:eastAsia="方正小标宋_GBK"/>
          <w:kern w:val="0"/>
          <w:sz w:val="44"/>
          <w:szCs w:val="24"/>
        </w:rPr>
        <w:t>年版）</w:t>
      </w:r>
    </w:p>
    <w:p w14:paraId="6C7FFF0E">
      <w:pPr>
        <w:spacing w:beforeLines="0" w:afterLines="0" w:line="500" w:lineRule="exact"/>
        <w:jc w:val="center"/>
        <w:rPr>
          <w:rFonts w:hint="default" w:ascii="Times New Roman" w:hAnsi="Times New Roman" w:eastAsia="方正小标宋_GBK"/>
          <w:kern w:val="0"/>
          <w:sz w:val="44"/>
          <w:szCs w:val="24"/>
        </w:rPr>
      </w:pPr>
    </w:p>
    <w:tbl>
      <w:tblPr>
        <w:tblStyle w:val="9"/>
        <w:tblW w:w="15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807"/>
        <w:gridCol w:w="1712"/>
        <w:gridCol w:w="2421"/>
        <w:gridCol w:w="4771"/>
        <w:gridCol w:w="4766"/>
      </w:tblGrid>
      <w:tr w14:paraId="5919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blHeader/>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FE1D6">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类别</w:t>
            </w: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599BBF66">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序号</w:t>
            </w:r>
          </w:p>
        </w:tc>
        <w:tc>
          <w:tcPr>
            <w:tcW w:w="1712" w:type="dxa"/>
            <w:tcBorders>
              <w:top w:val="single" w:color="auto" w:sz="4" w:space="0"/>
              <w:left w:val="nil"/>
              <w:bottom w:val="single" w:color="auto" w:sz="4" w:space="0"/>
              <w:right w:val="single" w:color="auto" w:sz="4" w:space="0"/>
              <w:tl2br w:val="nil"/>
              <w:tr2bl w:val="nil"/>
            </w:tcBorders>
            <w:noWrap w:val="0"/>
            <w:vAlign w:val="center"/>
          </w:tcPr>
          <w:p w14:paraId="3830E883">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w:t>
            </w:r>
          </w:p>
        </w:tc>
        <w:tc>
          <w:tcPr>
            <w:tcW w:w="2421" w:type="dxa"/>
            <w:tcBorders>
              <w:top w:val="single" w:color="auto" w:sz="4" w:space="0"/>
              <w:left w:val="nil"/>
              <w:bottom w:val="single" w:color="auto" w:sz="4" w:space="0"/>
              <w:right w:val="single" w:color="auto" w:sz="4" w:space="0"/>
              <w:tl2br w:val="nil"/>
              <w:tr2bl w:val="nil"/>
            </w:tcBorders>
            <w:noWrap w:val="0"/>
            <w:vAlign w:val="center"/>
          </w:tcPr>
          <w:p w14:paraId="29C3B878">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 xml:space="preserve">不予处罚的适用情形 </w:t>
            </w:r>
          </w:p>
        </w:tc>
        <w:tc>
          <w:tcPr>
            <w:tcW w:w="4771" w:type="dxa"/>
            <w:tcBorders>
              <w:top w:val="single" w:color="auto" w:sz="4" w:space="0"/>
              <w:left w:val="nil"/>
              <w:bottom w:val="single" w:color="auto" w:sz="4" w:space="0"/>
              <w:right w:val="single" w:color="auto" w:sz="4" w:space="0"/>
              <w:tl2br w:val="nil"/>
              <w:tr2bl w:val="nil"/>
            </w:tcBorders>
            <w:noWrap w:val="0"/>
            <w:vAlign w:val="center"/>
          </w:tcPr>
          <w:p w14:paraId="7FBA059D">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违法行为的定性依据</w:t>
            </w:r>
          </w:p>
        </w:tc>
        <w:tc>
          <w:tcPr>
            <w:tcW w:w="4766" w:type="dxa"/>
            <w:tcBorders>
              <w:top w:val="single" w:color="auto" w:sz="4" w:space="0"/>
              <w:left w:val="nil"/>
              <w:bottom w:val="single" w:color="auto" w:sz="4" w:space="0"/>
              <w:right w:val="single" w:color="auto" w:sz="4" w:space="0"/>
              <w:tl2br w:val="nil"/>
              <w:tr2bl w:val="nil"/>
            </w:tcBorders>
            <w:noWrap w:val="0"/>
            <w:vAlign w:val="center"/>
          </w:tcPr>
          <w:p w14:paraId="1626883E">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违法行为的处罚依据</w:t>
            </w:r>
          </w:p>
        </w:tc>
      </w:tr>
      <w:tr w14:paraId="1DFD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jc w:val="center"/>
        </w:trPr>
        <w:tc>
          <w:tcPr>
            <w:tcW w:w="817" w:type="dxa"/>
            <w:vMerge w:val="restart"/>
            <w:tcBorders>
              <w:top w:val="single" w:color="auto" w:sz="4" w:space="0"/>
              <w:left w:val="single" w:color="auto" w:sz="4" w:space="0"/>
              <w:bottom w:val="nil"/>
              <w:right w:val="single" w:color="auto" w:sz="4" w:space="0"/>
              <w:tl2br w:val="nil"/>
              <w:tr2bl w:val="nil"/>
            </w:tcBorders>
            <w:noWrap w:val="0"/>
            <w:vAlign w:val="center"/>
          </w:tcPr>
          <w:p w14:paraId="075C7892">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市场主体登记</w:t>
            </w:r>
          </w:p>
        </w:tc>
        <w:tc>
          <w:tcPr>
            <w:tcW w:w="807" w:type="dxa"/>
            <w:tcBorders>
              <w:top w:val="nil"/>
              <w:left w:val="nil"/>
              <w:bottom w:val="single" w:color="auto" w:sz="4" w:space="0"/>
              <w:right w:val="single" w:color="auto" w:sz="4" w:space="0"/>
              <w:tl2br w:val="nil"/>
              <w:tr2bl w:val="nil"/>
            </w:tcBorders>
            <w:noWrap w:val="0"/>
            <w:vAlign w:val="center"/>
          </w:tcPr>
          <w:p w14:paraId="073DF4C1">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p>
        </w:tc>
        <w:tc>
          <w:tcPr>
            <w:tcW w:w="1712" w:type="dxa"/>
            <w:tcBorders>
              <w:top w:val="nil"/>
              <w:left w:val="nil"/>
              <w:bottom w:val="single" w:color="auto" w:sz="4" w:space="0"/>
              <w:right w:val="single" w:color="auto" w:sz="4" w:space="0"/>
              <w:tl2br w:val="nil"/>
              <w:tr2bl w:val="nil"/>
            </w:tcBorders>
            <w:noWrap w:val="0"/>
            <w:vAlign w:val="center"/>
          </w:tcPr>
          <w:p w14:paraId="04FCF6F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市场主体未依法办理变更登记</w:t>
            </w:r>
          </w:p>
        </w:tc>
        <w:tc>
          <w:tcPr>
            <w:tcW w:w="2421" w:type="dxa"/>
            <w:tcBorders>
              <w:top w:val="nil"/>
              <w:left w:val="nil"/>
              <w:bottom w:val="single" w:color="auto" w:sz="4" w:space="0"/>
              <w:right w:val="single" w:color="auto" w:sz="4" w:space="0"/>
              <w:tl2br w:val="nil"/>
              <w:tr2bl w:val="nil"/>
            </w:tcBorders>
            <w:noWrap w:val="0"/>
            <w:vAlign w:val="center"/>
          </w:tcPr>
          <w:p w14:paraId="0D2FF4D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59FFA9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及时改正；</w:t>
            </w:r>
          </w:p>
          <w:p w14:paraId="60B65BB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未造成危害后果。</w:t>
            </w:r>
          </w:p>
        </w:tc>
        <w:tc>
          <w:tcPr>
            <w:tcW w:w="4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C4F7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《市场主体登记管理条例》第三条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市场主体应当依照本条例办理登记。未经登记，不得以市场主体名义从事经营活动。法律、行政法规规定无需办理登记的除外。</w:t>
            </w:r>
          </w:p>
          <w:p w14:paraId="2959255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市场主体登记包括设立登记、变更登记和注销登记。</w:t>
            </w:r>
          </w:p>
        </w:tc>
        <w:tc>
          <w:tcPr>
            <w:tcW w:w="4766" w:type="dxa"/>
            <w:tcBorders>
              <w:top w:val="nil"/>
              <w:left w:val="nil"/>
              <w:bottom w:val="single" w:color="auto" w:sz="4" w:space="0"/>
              <w:right w:val="single" w:color="auto" w:sz="4" w:space="0"/>
              <w:tl2br w:val="nil"/>
              <w:tr2bl w:val="nil"/>
            </w:tcBorders>
            <w:noWrap w:val="0"/>
            <w:vAlign w:val="center"/>
          </w:tcPr>
          <w:p w14:paraId="3D924B8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《市场主体登记管理条例》第四十六条　</w:t>
            </w:r>
            <w:r>
              <w:rPr>
                <w:rFonts w:hint="eastAsia" w:ascii="Times New Roman" w:hAnsi="Times New Roman" w:eastAsia="方正仿宋_GBK"/>
                <w:kern w:val="0"/>
                <w:sz w:val="21"/>
                <w:szCs w:val="24"/>
              </w:rPr>
              <w:t>市场主体未依照本条例办理变更登记的，由登记机关责令改正；拒不改正的，处1万元以上10万元以下的罚款；情节严重的，吊销营业执照。</w:t>
            </w:r>
          </w:p>
        </w:tc>
      </w:tr>
      <w:tr w14:paraId="377D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33488DC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09EC70F">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p>
        </w:tc>
        <w:tc>
          <w:tcPr>
            <w:tcW w:w="1712" w:type="dxa"/>
            <w:tcBorders>
              <w:top w:val="nil"/>
              <w:left w:val="nil"/>
              <w:bottom w:val="single" w:color="auto" w:sz="4" w:space="0"/>
              <w:right w:val="single" w:color="auto" w:sz="4" w:space="0"/>
              <w:tl2br w:val="nil"/>
              <w:tr2bl w:val="nil"/>
            </w:tcBorders>
            <w:noWrap w:val="0"/>
            <w:vAlign w:val="center"/>
          </w:tcPr>
          <w:p w14:paraId="2C549DA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个人独资企业使用的名称与其在登记机关登记的名称不相符合</w:t>
            </w:r>
          </w:p>
        </w:tc>
        <w:tc>
          <w:tcPr>
            <w:tcW w:w="2421" w:type="dxa"/>
            <w:tcBorders>
              <w:top w:val="nil"/>
              <w:left w:val="nil"/>
              <w:bottom w:val="single" w:color="auto" w:sz="4" w:space="0"/>
              <w:right w:val="single" w:color="auto" w:sz="4" w:space="0"/>
              <w:tl2br w:val="nil"/>
              <w:tr2bl w:val="nil"/>
            </w:tcBorders>
            <w:noWrap w:val="0"/>
            <w:vAlign w:val="center"/>
          </w:tcPr>
          <w:p w14:paraId="3D8CF1E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企业使用的名称已及时变更与登记名称一致，或已停止使用；</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p>
        </w:tc>
        <w:tc>
          <w:tcPr>
            <w:tcW w:w="4771" w:type="dxa"/>
            <w:tcBorders>
              <w:top w:val="single" w:color="auto" w:sz="4" w:space="0"/>
              <w:left w:val="nil"/>
              <w:bottom w:val="single" w:color="auto" w:sz="4" w:space="0"/>
              <w:right w:val="single" w:color="auto" w:sz="4" w:space="0"/>
              <w:tl2br w:val="nil"/>
              <w:tr2bl w:val="nil"/>
            </w:tcBorders>
            <w:noWrap w:val="0"/>
            <w:vAlign w:val="center"/>
          </w:tcPr>
          <w:p w14:paraId="386188AB">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《个人独资企业法》第十一条 </w:t>
            </w:r>
            <w:r>
              <w:rPr>
                <w:rFonts w:hint="eastAsia" w:ascii="Times New Roman" w:hAnsi="Times New Roman" w:eastAsia="方正仿宋_GBK"/>
                <w:kern w:val="0"/>
                <w:sz w:val="21"/>
                <w:szCs w:val="24"/>
              </w:rPr>
              <w:t>个人独资企业的名称应当与其责任形式及从事的营业相符合。</w:t>
            </w:r>
          </w:p>
        </w:tc>
        <w:tc>
          <w:tcPr>
            <w:tcW w:w="4766" w:type="dxa"/>
            <w:tcBorders>
              <w:top w:val="nil"/>
              <w:left w:val="nil"/>
              <w:bottom w:val="single" w:color="auto" w:sz="4" w:space="0"/>
              <w:right w:val="single" w:color="auto" w:sz="4" w:space="0"/>
              <w:tl2br w:val="nil"/>
              <w:tr2bl w:val="nil"/>
            </w:tcBorders>
            <w:noWrap w:val="0"/>
            <w:vAlign w:val="center"/>
          </w:tcPr>
          <w:p w14:paraId="0E72B86B">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《个人独资企业法》第三十四条  </w:t>
            </w:r>
            <w:r>
              <w:rPr>
                <w:rFonts w:hint="eastAsia" w:ascii="Times New Roman" w:hAnsi="Times New Roman" w:eastAsia="方正仿宋_GBK"/>
                <w:kern w:val="0"/>
                <w:sz w:val="21"/>
                <w:szCs w:val="24"/>
              </w:rPr>
              <w:t>违反本法规定，个人独资企业使用的名称与其在登记机关登记的名称不相符合的，责令限期改正，处以二千元以下的罚款。</w:t>
            </w:r>
          </w:p>
        </w:tc>
      </w:tr>
      <w:tr w14:paraId="77B1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atLeast"/>
          <w:jc w:val="center"/>
        </w:trPr>
        <w:tc>
          <w:tcPr>
            <w:tcW w:w="817" w:type="dxa"/>
            <w:vMerge w:val="restart"/>
            <w:tcBorders>
              <w:top w:val="single" w:color="auto" w:sz="4" w:space="0"/>
              <w:left w:val="single" w:color="auto" w:sz="4" w:space="0"/>
              <w:bottom w:val="nil"/>
              <w:right w:val="single" w:color="auto" w:sz="4" w:space="0"/>
              <w:tl2br w:val="nil"/>
              <w:tr2bl w:val="nil"/>
            </w:tcBorders>
            <w:noWrap w:val="0"/>
            <w:vAlign w:val="center"/>
          </w:tcPr>
          <w:p w14:paraId="2F747E57">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B0AF35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p>
        </w:tc>
        <w:tc>
          <w:tcPr>
            <w:tcW w:w="1712" w:type="dxa"/>
            <w:tcBorders>
              <w:top w:val="nil"/>
              <w:left w:val="nil"/>
              <w:bottom w:val="single" w:color="auto" w:sz="4" w:space="0"/>
              <w:right w:val="single" w:color="auto" w:sz="4" w:space="0"/>
              <w:tl2br w:val="nil"/>
              <w:tr2bl w:val="nil"/>
            </w:tcBorders>
            <w:noWrap w:val="0"/>
            <w:vAlign w:val="center"/>
          </w:tcPr>
          <w:p w14:paraId="4B4E4EC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未经设立登记从事经营活动</w:t>
            </w:r>
          </w:p>
        </w:tc>
        <w:tc>
          <w:tcPr>
            <w:tcW w:w="2421" w:type="dxa"/>
            <w:tcBorders>
              <w:top w:val="nil"/>
              <w:left w:val="nil"/>
              <w:bottom w:val="single" w:color="auto" w:sz="4" w:space="0"/>
              <w:right w:val="single" w:color="auto" w:sz="4" w:space="0"/>
              <w:tl2br w:val="nil"/>
              <w:tr2bl w:val="nil"/>
            </w:tcBorders>
            <w:noWrap w:val="0"/>
            <w:vAlign w:val="center"/>
          </w:tcPr>
          <w:p w14:paraId="44474FB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F7C5866">
            <w:pPr>
              <w:widowControl/>
              <w:spacing w:beforeLines="0" w:afterLines="0" w:line="280" w:lineRule="exact"/>
              <w:jc w:val="left"/>
              <w:rPr>
                <w:rFonts w:hint="default" w:ascii="Times New Roman" w:hAnsi="Times New Roman" w:eastAsia="方正仿宋_GBK"/>
                <w:spacing w:val="-8"/>
                <w:kern w:val="20"/>
                <w:sz w:val="21"/>
                <w:szCs w:val="24"/>
              </w:rPr>
            </w:pPr>
            <w:r>
              <w:rPr>
                <w:rFonts w:hint="default" w:ascii="Times New Roman" w:hAnsi="Times New Roman" w:eastAsia="方正仿宋_GBK"/>
                <w:spacing w:val="-8"/>
                <w:kern w:val="20"/>
                <w:sz w:val="21"/>
                <w:szCs w:val="24"/>
              </w:rPr>
              <w:t>1.</w:t>
            </w:r>
            <w:r>
              <w:rPr>
                <w:rFonts w:hint="eastAsia" w:ascii="Times New Roman" w:hAnsi="Times New Roman" w:eastAsia="方正仿宋_GBK"/>
                <w:spacing w:val="-8"/>
                <w:kern w:val="20"/>
                <w:sz w:val="21"/>
                <w:szCs w:val="24"/>
              </w:rPr>
              <w:t>违法行为持续时间较短或者违法经营额较少；</w:t>
            </w:r>
          </w:p>
          <w:p w14:paraId="16E9E48C">
            <w:pPr>
              <w:widowControl/>
              <w:spacing w:beforeLines="0" w:afterLines="0" w:line="280" w:lineRule="exact"/>
              <w:jc w:val="left"/>
              <w:rPr>
                <w:rFonts w:hint="default" w:ascii="Times New Roman" w:hAnsi="Times New Roman" w:eastAsia="方正仿宋_GBK"/>
                <w:spacing w:val="-8"/>
                <w:kern w:val="20"/>
                <w:sz w:val="21"/>
                <w:szCs w:val="24"/>
              </w:rPr>
            </w:pPr>
            <w:r>
              <w:rPr>
                <w:rFonts w:hint="default" w:ascii="Times New Roman" w:hAnsi="Times New Roman" w:eastAsia="方正仿宋_GBK"/>
                <w:spacing w:val="-8"/>
                <w:kern w:val="20"/>
                <w:sz w:val="21"/>
                <w:szCs w:val="24"/>
              </w:rPr>
              <w:t>2.</w:t>
            </w:r>
            <w:r>
              <w:rPr>
                <w:rFonts w:hint="eastAsia" w:ascii="Times New Roman" w:hAnsi="Times New Roman" w:eastAsia="方正仿宋_GBK"/>
                <w:spacing w:val="-8"/>
                <w:kern w:val="20"/>
                <w:sz w:val="21"/>
                <w:szCs w:val="24"/>
              </w:rPr>
              <w:t>未造成危害后果；</w:t>
            </w:r>
          </w:p>
          <w:p w14:paraId="0094EA93">
            <w:pPr>
              <w:widowControl/>
              <w:spacing w:beforeLines="0" w:afterLines="0" w:line="280" w:lineRule="exact"/>
              <w:jc w:val="left"/>
              <w:rPr>
                <w:rFonts w:hint="default" w:ascii="Times New Roman" w:hAnsi="Times New Roman" w:eastAsia="方正仿宋_GBK"/>
                <w:spacing w:val="-8"/>
                <w:kern w:val="20"/>
                <w:sz w:val="21"/>
                <w:szCs w:val="24"/>
              </w:rPr>
            </w:pPr>
            <w:r>
              <w:rPr>
                <w:rFonts w:hint="default" w:ascii="Times New Roman" w:hAnsi="Times New Roman" w:eastAsia="方正仿宋_GBK"/>
                <w:spacing w:val="-8"/>
                <w:kern w:val="20"/>
                <w:sz w:val="21"/>
                <w:szCs w:val="24"/>
              </w:rPr>
              <w:t>3.</w:t>
            </w:r>
            <w:r>
              <w:rPr>
                <w:rFonts w:hint="eastAsia" w:ascii="Times New Roman" w:hAnsi="Times New Roman" w:eastAsia="方正仿宋_GBK"/>
                <w:spacing w:val="-8"/>
                <w:kern w:val="20"/>
                <w:sz w:val="21"/>
                <w:szCs w:val="24"/>
              </w:rPr>
              <w:t>及时改正。</w:t>
            </w:r>
          </w:p>
          <w:p w14:paraId="6FD3D34C">
            <w:pPr>
              <w:widowControl/>
              <w:spacing w:beforeLines="0" w:afterLines="0" w:line="280" w:lineRule="exact"/>
              <w:jc w:val="lef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1F37B6B8">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《市场主体登记管理条例》第三条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市场主体应当依照本条例办理登记。未经登记，不得以市场主体名义从事经营活动。法律、行政法规规定无需办理登记的除外。</w:t>
            </w:r>
          </w:p>
          <w:p w14:paraId="3F3E5B15">
            <w:pPr>
              <w:widowControl/>
              <w:spacing w:beforeLines="0" w:afterLines="0" w:line="28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市场主体登记包括设立登记、变更登记和注销登记。</w:t>
            </w:r>
          </w:p>
          <w:p w14:paraId="11479F3A">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spacing w:val="-2"/>
                <w:kern w:val="0"/>
                <w:sz w:val="21"/>
                <w:szCs w:val="24"/>
              </w:rPr>
              <w:t>《无证无照经营查处办法》第二条</w:t>
            </w:r>
            <w:r>
              <w:rPr>
                <w:rFonts w:hint="default" w:ascii="Times New Roman" w:hAnsi="Times New Roman" w:eastAsia="方正仿宋_GBK"/>
                <w:spacing w:val="-2"/>
                <w:kern w:val="0"/>
                <w:sz w:val="21"/>
                <w:szCs w:val="24"/>
              </w:rPr>
              <w:t xml:space="preserve">  </w:t>
            </w:r>
            <w:r>
              <w:rPr>
                <w:rFonts w:hint="eastAsia" w:ascii="Times New Roman" w:hAnsi="Times New Roman" w:eastAsia="方正仿宋_GBK"/>
                <w:spacing w:val="-2"/>
                <w:kern w:val="0"/>
                <w:sz w:val="21"/>
                <w:szCs w:val="24"/>
              </w:rPr>
              <w:t>任何单位或者个人不得违反法律、法规、国务院决定的规定，从事无证无照经营。</w:t>
            </w:r>
          </w:p>
        </w:tc>
        <w:tc>
          <w:tcPr>
            <w:tcW w:w="4766" w:type="dxa"/>
            <w:tcBorders>
              <w:top w:val="nil"/>
              <w:left w:val="nil"/>
              <w:bottom w:val="single" w:color="auto" w:sz="4" w:space="0"/>
              <w:right w:val="single" w:color="auto" w:sz="4" w:space="0"/>
              <w:tl2br w:val="nil"/>
              <w:tr2bl w:val="nil"/>
            </w:tcBorders>
            <w:noWrap w:val="0"/>
            <w:vAlign w:val="center"/>
          </w:tcPr>
          <w:p w14:paraId="47ABB7F3">
            <w:pPr>
              <w:widowControl/>
              <w:spacing w:beforeLines="0" w:afterLines="0" w:line="280" w:lineRule="exact"/>
              <w:jc w:val="left"/>
              <w:rPr>
                <w:rFonts w:hint="default" w:ascii="Times New Roman" w:hAnsi="Times New Roman" w:eastAsia="方正仿宋_GBK"/>
                <w:spacing w:val="-8"/>
                <w:kern w:val="20"/>
                <w:sz w:val="21"/>
                <w:szCs w:val="24"/>
              </w:rPr>
            </w:pPr>
            <w:r>
              <w:rPr>
                <w:rFonts w:hint="eastAsia" w:ascii="Times New Roman" w:hAnsi="Times New Roman" w:eastAsia="方正仿宋_GBK"/>
                <w:b/>
                <w:spacing w:val="-8"/>
                <w:kern w:val="20"/>
                <w:sz w:val="21"/>
                <w:szCs w:val="24"/>
              </w:rPr>
              <w:t>《市场主体登记管理条例》第四十三条</w:t>
            </w:r>
            <w:r>
              <w:rPr>
                <w:rFonts w:hint="default" w:ascii="Times New Roman" w:hAnsi="Times New Roman" w:eastAsia="方正仿宋_GBK"/>
                <w:spacing w:val="-8"/>
                <w:kern w:val="20"/>
                <w:sz w:val="21"/>
                <w:szCs w:val="24"/>
              </w:rPr>
              <w:t xml:space="preserve">  </w:t>
            </w:r>
            <w:r>
              <w:rPr>
                <w:rFonts w:hint="eastAsia" w:ascii="Times New Roman" w:hAnsi="Times New Roman" w:eastAsia="方正仿宋_GBK"/>
                <w:spacing w:val="-8"/>
                <w:kern w:val="20"/>
                <w:sz w:val="21"/>
                <w:szCs w:val="24"/>
              </w:rPr>
              <w:t>未经设立登记从事经营活动的，由登记机关责令改正，没收违法所得……</w:t>
            </w:r>
          </w:p>
          <w:p w14:paraId="4C0D0663">
            <w:pPr>
              <w:widowControl/>
              <w:spacing w:beforeLines="0" w:afterLines="0" w:line="280" w:lineRule="exact"/>
              <w:jc w:val="left"/>
              <w:rPr>
                <w:rFonts w:hint="default" w:ascii="Times New Roman" w:hAnsi="Times New Roman" w:eastAsia="方正仿宋_GBK"/>
                <w:spacing w:val="-8"/>
                <w:kern w:val="20"/>
                <w:sz w:val="21"/>
                <w:szCs w:val="24"/>
              </w:rPr>
            </w:pPr>
            <w:r>
              <w:rPr>
                <w:rFonts w:hint="eastAsia" w:ascii="Times New Roman" w:hAnsi="Times New Roman" w:eastAsia="方正仿宋_GBK"/>
                <w:b/>
                <w:spacing w:val="-8"/>
                <w:kern w:val="20"/>
                <w:sz w:val="21"/>
                <w:szCs w:val="24"/>
              </w:rPr>
              <w:t>第四十九条</w:t>
            </w:r>
            <w:r>
              <w:rPr>
                <w:rFonts w:hint="default" w:ascii="Times New Roman" w:hAnsi="Times New Roman" w:eastAsia="方正仿宋_GBK"/>
                <w:spacing w:val="-8"/>
                <w:kern w:val="20"/>
                <w:sz w:val="21"/>
                <w:szCs w:val="24"/>
              </w:rPr>
              <w:t xml:space="preserve">  </w:t>
            </w:r>
            <w:r>
              <w:rPr>
                <w:rFonts w:hint="eastAsia" w:ascii="Times New Roman" w:hAnsi="Times New Roman" w:eastAsia="方正仿宋_GBK"/>
                <w:spacing w:val="-8"/>
                <w:kern w:val="20"/>
                <w:sz w:val="21"/>
                <w:szCs w:val="24"/>
              </w:rPr>
              <w:t>违反本条例规定的，登记机关确定罚款金额时，应当综合考虑市场主体的类型、规模、违法情节等因素。</w:t>
            </w:r>
          </w:p>
          <w:p w14:paraId="00DFEC26">
            <w:pPr>
              <w:widowControl/>
              <w:spacing w:beforeLines="0" w:afterLines="0" w:line="280" w:lineRule="exact"/>
              <w:jc w:val="left"/>
              <w:rPr>
                <w:rFonts w:hint="default" w:ascii="Times New Roman" w:hAnsi="Times New Roman" w:eastAsia="方正仿宋_GBK"/>
                <w:spacing w:val="-8"/>
                <w:kern w:val="20"/>
                <w:sz w:val="21"/>
                <w:szCs w:val="24"/>
              </w:rPr>
            </w:pPr>
            <w:r>
              <w:rPr>
                <w:rFonts w:hint="eastAsia" w:ascii="Times New Roman" w:hAnsi="Times New Roman" w:eastAsia="方正仿宋_GBK"/>
                <w:b/>
                <w:spacing w:val="-2"/>
                <w:kern w:val="0"/>
                <w:sz w:val="21"/>
                <w:szCs w:val="24"/>
              </w:rPr>
              <w:t>《无证无照经营查处办法》第十三条</w:t>
            </w:r>
            <w:r>
              <w:rPr>
                <w:rFonts w:hint="default" w:ascii="Times New Roman" w:hAnsi="Times New Roman" w:eastAsia="方正仿宋_GBK"/>
                <w:spacing w:val="-2"/>
                <w:kern w:val="0"/>
                <w:sz w:val="21"/>
                <w:szCs w:val="24"/>
              </w:rPr>
              <w:t xml:space="preserve">  </w:t>
            </w:r>
            <w:r>
              <w:rPr>
                <w:rFonts w:hint="eastAsia" w:ascii="Times New Roman" w:hAnsi="Times New Roman" w:eastAsia="方正仿宋_GBK"/>
                <w:spacing w:val="-2"/>
                <w:kern w:val="0"/>
                <w:sz w:val="21"/>
                <w:szCs w:val="24"/>
              </w:rPr>
              <w:t>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14:paraId="3B2A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6096D3D8">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716B5B1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p>
        </w:tc>
        <w:tc>
          <w:tcPr>
            <w:tcW w:w="1712" w:type="dxa"/>
            <w:tcBorders>
              <w:top w:val="nil"/>
              <w:left w:val="nil"/>
              <w:bottom w:val="single" w:color="auto" w:sz="4" w:space="0"/>
              <w:right w:val="single" w:color="auto" w:sz="4" w:space="0"/>
              <w:tl2br w:val="nil"/>
              <w:tr2bl w:val="nil"/>
            </w:tcBorders>
            <w:noWrap w:val="0"/>
            <w:vAlign w:val="center"/>
          </w:tcPr>
          <w:p w14:paraId="54B4F26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市场主体未按照规定的期限公示或者报送年度报告</w:t>
            </w:r>
          </w:p>
        </w:tc>
        <w:tc>
          <w:tcPr>
            <w:tcW w:w="2421" w:type="dxa"/>
            <w:tcBorders>
              <w:top w:val="nil"/>
              <w:left w:val="nil"/>
              <w:bottom w:val="single" w:color="auto" w:sz="4" w:space="0"/>
              <w:right w:val="single" w:color="auto" w:sz="4" w:space="0"/>
              <w:tl2br w:val="nil"/>
              <w:tr2bl w:val="nil"/>
            </w:tcBorders>
            <w:noWrap w:val="0"/>
            <w:vAlign w:val="center"/>
          </w:tcPr>
          <w:p w14:paraId="282601CA">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00B74CD">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50B9876D">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在下一年度年报开始前按要求报送；</w:t>
            </w:r>
          </w:p>
          <w:p w14:paraId="6275AADD">
            <w:pPr>
              <w:spacing w:beforeLines="0" w:afterLines="0"/>
              <w:rPr>
                <w:rFonts w:hint="default" w:ascii="Times New Roman" w:hAnsi="Times New Roman"/>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不存在经市场监管部门通知提醒后仍不报送情形。</w:t>
            </w:r>
          </w:p>
          <w:p w14:paraId="4D8B6A33">
            <w:pPr>
              <w:spacing w:beforeLines="0" w:afterLines="0"/>
              <w:rPr>
                <w:rFonts w:hint="default" w:ascii="Times New Roman" w:hAnsi="Times New Roman"/>
                <w:sz w:val="21"/>
                <w:szCs w:val="24"/>
              </w:rPr>
            </w:pPr>
          </w:p>
          <w:p w14:paraId="4DBB5A84">
            <w:pPr>
              <w:spacing w:beforeLines="0" w:afterLines="0"/>
              <w:rPr>
                <w:rFonts w:hint="default" w:ascii="Times New Roman" w:hAnsi="Times New Roman"/>
                <w:sz w:val="21"/>
                <w:szCs w:val="24"/>
              </w:rPr>
            </w:pPr>
          </w:p>
          <w:p w14:paraId="20DD4AA7">
            <w:pPr>
              <w:widowControl/>
              <w:spacing w:beforeLines="0" w:afterLines="0" w:line="280" w:lineRule="exact"/>
              <w:jc w:val="lef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3FC5DE39">
            <w:pPr>
              <w:widowControl/>
              <w:spacing w:beforeLines="0" w:afterLines="0" w:line="280" w:lineRule="exact"/>
              <w:rPr>
                <w:rFonts w:hint="default" w:ascii="Times New Roman" w:hAnsi="Times New Roman" w:eastAsia="方正仿宋_GBK"/>
                <w:b/>
                <w:spacing w:val="-2"/>
                <w:kern w:val="0"/>
                <w:sz w:val="21"/>
                <w:szCs w:val="24"/>
              </w:rPr>
            </w:pPr>
            <w:r>
              <w:rPr>
                <w:rFonts w:hint="eastAsia" w:ascii="Times New Roman" w:hAnsi="Times New Roman" w:eastAsia="方正仿宋_GBK"/>
                <w:b/>
                <w:kern w:val="0"/>
                <w:sz w:val="21"/>
                <w:szCs w:val="24"/>
              </w:rPr>
              <w:t xml:space="preserve">《市场主体登记管理条例》第三十五条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市场主体应当按照国家有关规定公示年度报告和登记相关信息。</w:t>
            </w:r>
          </w:p>
        </w:tc>
        <w:tc>
          <w:tcPr>
            <w:tcW w:w="4766" w:type="dxa"/>
            <w:tcBorders>
              <w:top w:val="nil"/>
              <w:left w:val="nil"/>
              <w:bottom w:val="single" w:color="auto" w:sz="4" w:space="0"/>
              <w:right w:val="single" w:color="auto" w:sz="4" w:space="0"/>
              <w:tl2br w:val="nil"/>
              <w:tr2bl w:val="nil"/>
            </w:tcBorders>
            <w:noWrap w:val="0"/>
            <w:vAlign w:val="center"/>
          </w:tcPr>
          <w:p w14:paraId="20E9DED2">
            <w:pPr>
              <w:spacing w:beforeLines="0" w:afterLines="0"/>
              <w:rPr>
                <w:rFonts w:hint="default" w:ascii="Times New Roman" w:hAnsi="Times New Roman"/>
                <w:sz w:val="21"/>
                <w:szCs w:val="24"/>
              </w:rPr>
            </w:pPr>
            <w:r>
              <w:rPr>
                <w:rFonts w:hint="eastAsia" w:ascii="Times New Roman" w:hAnsi="Times New Roman" w:eastAsia="方正仿宋_GBK"/>
                <w:b/>
                <w:spacing w:val="-8"/>
                <w:kern w:val="20"/>
                <w:sz w:val="21"/>
                <w:szCs w:val="24"/>
              </w:rPr>
              <w:t xml:space="preserve">《市场登记主体管理条例实施细则》第七十条  </w:t>
            </w:r>
            <w:r>
              <w:rPr>
                <w:rFonts w:hint="eastAsia" w:ascii="Times New Roman" w:hAnsi="Times New Roman" w:eastAsia="方正仿宋_GBK"/>
                <w:spacing w:val="-8"/>
                <w:kern w:val="20"/>
                <w:sz w:val="21"/>
                <w:szCs w:val="24"/>
              </w:rPr>
              <w:t>市场主体未按照法律、行政法规规定的期限公示或者报送年度报告的，由登记机关列入经营异常名录，可以处1万元以下的罚款。</w:t>
            </w:r>
          </w:p>
          <w:p w14:paraId="2B022771">
            <w:pPr>
              <w:widowControl/>
              <w:spacing w:beforeLines="0" w:afterLines="0" w:line="280" w:lineRule="exact"/>
              <w:jc w:val="left"/>
              <w:rPr>
                <w:rFonts w:hint="default" w:ascii="Times New Roman" w:hAnsi="Times New Roman" w:eastAsia="方正仿宋_GBK"/>
                <w:b/>
                <w:spacing w:val="-2"/>
                <w:kern w:val="0"/>
                <w:sz w:val="21"/>
                <w:szCs w:val="24"/>
              </w:rPr>
            </w:pPr>
          </w:p>
        </w:tc>
      </w:tr>
      <w:tr w14:paraId="290C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3EDBD102">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A30205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p>
        </w:tc>
        <w:tc>
          <w:tcPr>
            <w:tcW w:w="1712" w:type="dxa"/>
            <w:tcBorders>
              <w:top w:val="nil"/>
              <w:left w:val="nil"/>
              <w:bottom w:val="single" w:color="auto" w:sz="4" w:space="0"/>
              <w:right w:val="single" w:color="auto" w:sz="4" w:space="0"/>
              <w:tl2br w:val="nil"/>
              <w:tr2bl w:val="nil"/>
            </w:tcBorders>
            <w:noWrap w:val="0"/>
            <w:vAlign w:val="center"/>
          </w:tcPr>
          <w:p w14:paraId="05B0C0C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外国企业常驻代表机构未按照规定提交年度报告</w:t>
            </w:r>
          </w:p>
        </w:tc>
        <w:tc>
          <w:tcPr>
            <w:tcW w:w="2421" w:type="dxa"/>
            <w:tcBorders>
              <w:top w:val="nil"/>
              <w:left w:val="nil"/>
              <w:bottom w:val="single" w:color="auto" w:sz="4" w:space="0"/>
              <w:right w:val="single" w:color="auto" w:sz="4" w:space="0"/>
              <w:tl2br w:val="nil"/>
              <w:tr2bl w:val="nil"/>
            </w:tcBorders>
            <w:noWrap w:val="0"/>
            <w:vAlign w:val="center"/>
          </w:tcPr>
          <w:p w14:paraId="120F2B8D">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452242E">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1F2877F9">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在下一年度年报开始前按要求报送；</w:t>
            </w:r>
          </w:p>
          <w:p w14:paraId="4F7FF4E5">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不存在经市场监管部门通知提醒后仍不报送情形。</w:t>
            </w:r>
          </w:p>
        </w:tc>
        <w:tc>
          <w:tcPr>
            <w:tcW w:w="4771" w:type="dxa"/>
            <w:tcBorders>
              <w:top w:val="nil"/>
              <w:left w:val="nil"/>
              <w:bottom w:val="single" w:color="auto" w:sz="4" w:space="0"/>
              <w:right w:val="single" w:color="auto" w:sz="4" w:space="0"/>
              <w:tl2br w:val="nil"/>
              <w:tr2bl w:val="nil"/>
            </w:tcBorders>
            <w:noWrap w:val="0"/>
            <w:vAlign w:val="center"/>
          </w:tcPr>
          <w:p w14:paraId="7268E8C9">
            <w:pPr>
              <w:widowControl/>
              <w:spacing w:beforeLines="0" w:afterLines="0" w:line="280" w:lineRule="exact"/>
              <w:rPr>
                <w:rFonts w:hint="default" w:ascii="Times New Roman" w:hAnsi="Times New Roman" w:eastAsia="方正仿宋_GBK"/>
                <w:b/>
                <w:spacing w:val="-2"/>
                <w:kern w:val="0"/>
                <w:sz w:val="21"/>
                <w:szCs w:val="24"/>
              </w:rPr>
            </w:pPr>
            <w:r>
              <w:rPr>
                <w:rFonts w:hint="eastAsia" w:ascii="Times New Roman" w:hAnsi="Times New Roman" w:eastAsia="方正仿宋_GBK"/>
                <w:b/>
                <w:kern w:val="0"/>
                <w:sz w:val="21"/>
                <w:szCs w:val="24"/>
              </w:rPr>
              <w:t xml:space="preserve">《外国企业常驻代表机构登记管理条例》第六条  </w:t>
            </w:r>
            <w:r>
              <w:rPr>
                <w:rFonts w:hint="eastAsia" w:ascii="Times New Roman" w:hAnsi="Times New Roman" w:eastAsia="方正仿宋_GBK"/>
                <w:kern w:val="0"/>
                <w:sz w:val="21"/>
                <w:szCs w:val="24"/>
              </w:rPr>
              <w:t>代表机构应当于每年3月1日至6月30日向登记机关提交年度报告。年度报告的内容包括外国企业的合法存续情况、代表机构的业务活动开展情况及其经会计师事务所审计的费用收支情况等相关情况。</w:t>
            </w:r>
          </w:p>
        </w:tc>
        <w:tc>
          <w:tcPr>
            <w:tcW w:w="4766" w:type="dxa"/>
            <w:tcBorders>
              <w:top w:val="nil"/>
              <w:left w:val="nil"/>
              <w:bottom w:val="single" w:color="auto" w:sz="4" w:space="0"/>
              <w:right w:val="single" w:color="auto" w:sz="4" w:space="0"/>
              <w:tl2br w:val="nil"/>
              <w:tr2bl w:val="nil"/>
            </w:tcBorders>
            <w:noWrap w:val="0"/>
            <w:vAlign w:val="center"/>
          </w:tcPr>
          <w:p w14:paraId="64D31B4C">
            <w:pPr>
              <w:widowControl/>
              <w:spacing w:beforeLines="0" w:afterLines="0" w:line="280" w:lineRule="exact"/>
              <w:jc w:val="left"/>
              <w:rPr>
                <w:rFonts w:hint="default" w:ascii="Times New Roman" w:hAnsi="Times New Roman" w:eastAsia="方正仿宋_GBK"/>
                <w:b/>
                <w:spacing w:val="-2"/>
                <w:kern w:val="0"/>
                <w:sz w:val="21"/>
                <w:szCs w:val="24"/>
              </w:rPr>
            </w:pPr>
            <w:r>
              <w:rPr>
                <w:rFonts w:hint="eastAsia" w:ascii="Times New Roman" w:hAnsi="Times New Roman" w:eastAsia="方正仿宋_GBK"/>
                <w:b/>
                <w:spacing w:val="-8"/>
                <w:kern w:val="20"/>
                <w:sz w:val="21"/>
                <w:szCs w:val="24"/>
              </w:rPr>
              <w:t xml:space="preserve">《外国企业常驻代表机构登记管理条例》第三十八条第一项  </w:t>
            </w:r>
            <w:r>
              <w:rPr>
                <w:rFonts w:hint="eastAsia" w:ascii="Times New Roman" w:hAnsi="Times New Roman" w:eastAsia="方正仿宋_GBK"/>
                <w:spacing w:val="-8"/>
                <w:kern w:val="20"/>
                <w:sz w:val="21"/>
                <w:szCs w:val="24"/>
              </w:rPr>
              <w:t>有下列情形之一的，由登记机关责令限期改正，处以1万元以上3万元以下的罚款；逾期未改正的，吊销登记证：（一）未依照本条例规定提交年度报告的；</w:t>
            </w:r>
          </w:p>
        </w:tc>
      </w:tr>
      <w:tr w14:paraId="0D4D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2D2E86">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价格</w:t>
            </w:r>
          </w:p>
          <w:p w14:paraId="11C5D9E7">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1C40101">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p>
        </w:tc>
        <w:tc>
          <w:tcPr>
            <w:tcW w:w="1712" w:type="dxa"/>
            <w:tcBorders>
              <w:top w:val="nil"/>
              <w:left w:val="nil"/>
              <w:bottom w:val="single" w:color="auto" w:sz="4" w:space="0"/>
              <w:right w:val="single" w:color="auto" w:sz="4" w:space="0"/>
              <w:tl2br w:val="nil"/>
              <w:tr2bl w:val="nil"/>
            </w:tcBorders>
            <w:noWrap w:val="0"/>
            <w:vAlign w:val="center"/>
          </w:tcPr>
          <w:p w14:paraId="1D649E9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经营者未按照规定的内容和方式明码标价</w:t>
            </w:r>
          </w:p>
        </w:tc>
        <w:tc>
          <w:tcPr>
            <w:tcW w:w="2421" w:type="dxa"/>
            <w:tcBorders>
              <w:top w:val="nil"/>
              <w:left w:val="nil"/>
              <w:bottom w:val="single" w:color="auto" w:sz="4" w:space="0"/>
              <w:right w:val="single" w:color="auto" w:sz="4" w:space="0"/>
              <w:tl2br w:val="nil"/>
              <w:tr2bl w:val="nil"/>
            </w:tcBorders>
            <w:noWrap w:val="0"/>
            <w:vAlign w:val="center"/>
          </w:tcPr>
          <w:p w14:paraId="52E2F9E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有证据证明事先充分保障了消费者的知情权与选择权；</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8A6D8FE">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《价格法》第十三条第一款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经营者销售、收购商品和提供服务，应当按照政府价格主管部门的规定明码标价，注明商品的品名、产地、规格、等级、计价单位、价格或者服务的项目、收费标准等有关情况。</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《明码标价和禁止价格欺诈规定》第七条</w:t>
            </w:r>
            <w:r>
              <w:rPr>
                <w:rFonts w:hint="eastAsia" w:ascii="Times New Roman" w:hAnsi="Times New Roman" w:eastAsia="方正仿宋_GBK"/>
                <w:kern w:val="0"/>
                <w:sz w:val="21"/>
                <w:szCs w:val="24"/>
              </w:rPr>
              <w:t>　经营者销售商品应当标示商品的品名、价格和计价单位。同一品牌或者种类的商品，因颜色、形状、规格、产地、等级等特征不同而实行不同价格的，经营者应当针对不同的价格分别标示品名，以示区别。</w:t>
            </w:r>
          </w:p>
          <w:p w14:paraId="56BACDB1">
            <w:pPr>
              <w:widowControl/>
              <w:spacing w:beforeLines="0" w:afterLines="0" w:line="28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经营者提供服务应当标示服务项目、服务内容和价格或者计价方法。</w:t>
            </w:r>
          </w:p>
          <w:p w14:paraId="73D7B533">
            <w:pPr>
              <w:widowControl/>
              <w:spacing w:beforeLines="0" w:afterLines="0" w:line="28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经营者可以根据实际经营情况，自行增加标示与价格有关的质地、服务标准、结算方法等其他信息。</w:t>
            </w:r>
          </w:p>
          <w:p w14:paraId="40BB938C">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设区的市级以上市场监督管理部门对于特定商品和服务，可以增加规定明码标价应当标示的内容。</w:t>
            </w:r>
          </w:p>
        </w:tc>
        <w:tc>
          <w:tcPr>
            <w:tcW w:w="4766" w:type="dxa"/>
            <w:tcBorders>
              <w:top w:val="nil"/>
              <w:left w:val="nil"/>
              <w:bottom w:val="single" w:color="auto" w:sz="4" w:space="0"/>
              <w:right w:val="single" w:color="auto" w:sz="4" w:space="0"/>
              <w:tl2br w:val="nil"/>
              <w:tr2bl w:val="nil"/>
            </w:tcBorders>
            <w:noWrap w:val="0"/>
            <w:vAlign w:val="center"/>
          </w:tcPr>
          <w:p w14:paraId="138270EE">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《价格法》第四十二条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经营者违反明码标价规定的，责令改正，没收违法所得，可以并处五千元以下的罚款。</w:t>
            </w:r>
          </w:p>
        </w:tc>
      </w:tr>
      <w:tr w14:paraId="3A9E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FB45E2">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3EAAB8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w:t>
            </w:r>
          </w:p>
        </w:tc>
        <w:tc>
          <w:tcPr>
            <w:tcW w:w="1712" w:type="dxa"/>
            <w:tcBorders>
              <w:top w:val="nil"/>
              <w:left w:val="nil"/>
              <w:bottom w:val="single" w:color="auto" w:sz="4" w:space="0"/>
              <w:right w:val="single" w:color="auto" w:sz="4" w:space="0"/>
              <w:tl2br w:val="nil"/>
              <w:tr2bl w:val="nil"/>
            </w:tcBorders>
            <w:noWrap w:val="0"/>
            <w:vAlign w:val="center"/>
          </w:tcPr>
          <w:p w14:paraId="48F3FFF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经营者开展价格促销活动未按规定显著标明条件或期限</w:t>
            </w:r>
          </w:p>
        </w:tc>
        <w:tc>
          <w:tcPr>
            <w:tcW w:w="2421" w:type="dxa"/>
            <w:tcBorders>
              <w:top w:val="nil"/>
              <w:left w:val="nil"/>
              <w:bottom w:val="single" w:color="auto" w:sz="4" w:space="0"/>
              <w:right w:val="single" w:color="auto" w:sz="4" w:space="0"/>
              <w:tl2br w:val="nil"/>
              <w:tr2bl w:val="nil"/>
            </w:tcBorders>
            <w:noWrap w:val="0"/>
            <w:vAlign w:val="center"/>
          </w:tcPr>
          <w:p w14:paraId="660566D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7FEFED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违法行为持续时间较短；</w:t>
            </w:r>
          </w:p>
          <w:p w14:paraId="0324AE0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案涉商品、服务数量较少，或金额较小；</w:t>
            </w:r>
          </w:p>
          <w:p w14:paraId="0CFD796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未实际多收消费者价款；</w:t>
            </w:r>
          </w:p>
          <w:p w14:paraId="72A571F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2B84613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《价格法》第十三条第一款  </w:t>
            </w:r>
            <w:r>
              <w:rPr>
                <w:rFonts w:hint="eastAsia" w:ascii="Times New Roman" w:hAnsi="Times New Roman" w:eastAsia="方正仿宋_GBK"/>
                <w:kern w:val="0"/>
                <w:sz w:val="21"/>
                <w:szCs w:val="24"/>
              </w:rPr>
              <w:t>经营者销售、收购商品和提供服务，应当按照政府价格主管部门的规定明码标价，注明商品的品名、产地、规格、等级、计价单位、价格或者服务的项目、收费标准等有关情况。</w:t>
            </w:r>
          </w:p>
          <w:p w14:paraId="03B72C17">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spacing w:val="-8"/>
                <w:kern w:val="20"/>
                <w:sz w:val="21"/>
                <w:szCs w:val="24"/>
              </w:rPr>
              <w:t xml:space="preserve">《规范促销行为暂行规定》第二十条  </w:t>
            </w:r>
            <w:r>
              <w:rPr>
                <w:rFonts w:hint="eastAsia" w:ascii="Times New Roman" w:hAnsi="Times New Roman" w:eastAsia="方正仿宋_GBK"/>
                <w:spacing w:val="-8"/>
                <w:kern w:val="20"/>
                <w:sz w:val="21"/>
                <w:szCs w:val="24"/>
              </w:rPr>
              <w:t>经营者开展价格促销活动有附加条件的，应当显著标明条件。经营者开展限时减价、折价等价格促销活动的，应当显著标明期限。</w:t>
            </w:r>
          </w:p>
        </w:tc>
        <w:tc>
          <w:tcPr>
            <w:tcW w:w="4766" w:type="dxa"/>
            <w:tcBorders>
              <w:top w:val="nil"/>
              <w:left w:val="nil"/>
              <w:bottom w:val="single" w:color="auto" w:sz="4" w:space="0"/>
              <w:right w:val="single" w:color="auto" w:sz="4" w:space="0"/>
              <w:tl2br w:val="nil"/>
              <w:tr2bl w:val="nil"/>
            </w:tcBorders>
            <w:noWrap w:val="0"/>
            <w:vAlign w:val="center"/>
          </w:tcPr>
          <w:p w14:paraId="1E0EB56E">
            <w:pPr>
              <w:widowControl/>
              <w:spacing w:beforeLines="0" w:afterLines="0" w:line="300" w:lineRule="exact"/>
              <w:rPr>
                <w:rFonts w:hint="default" w:ascii="Times New Roman" w:hAnsi="Times New Roman" w:eastAsia="方正仿宋_GBK"/>
                <w:spacing w:val="-8"/>
                <w:kern w:val="20"/>
                <w:sz w:val="21"/>
                <w:szCs w:val="24"/>
              </w:rPr>
            </w:pPr>
            <w:r>
              <w:rPr>
                <w:rFonts w:hint="eastAsia" w:ascii="Times New Roman" w:hAnsi="Times New Roman" w:eastAsia="方正仿宋_GBK"/>
                <w:b/>
                <w:spacing w:val="-8"/>
                <w:kern w:val="20"/>
                <w:sz w:val="21"/>
                <w:szCs w:val="24"/>
              </w:rPr>
              <w:t xml:space="preserve">《价格法》第四十二条  </w:t>
            </w:r>
            <w:r>
              <w:rPr>
                <w:rFonts w:hint="eastAsia" w:ascii="Times New Roman" w:hAnsi="Times New Roman" w:eastAsia="方正仿宋_GBK"/>
                <w:spacing w:val="-8"/>
                <w:kern w:val="20"/>
                <w:sz w:val="21"/>
                <w:szCs w:val="24"/>
              </w:rPr>
              <w:t>经营者违反明码标价规定的，责令改正，没收违法所得，可以并处五千元以下的罚款。</w:t>
            </w:r>
          </w:p>
          <w:p w14:paraId="6702C39E">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spacing w:val="-8"/>
                <w:kern w:val="20"/>
                <w:sz w:val="21"/>
                <w:szCs w:val="24"/>
              </w:rPr>
              <w:t xml:space="preserve">《规范促销行为暂行规定》第二十九条  </w:t>
            </w:r>
            <w:r>
              <w:rPr>
                <w:rFonts w:hint="eastAsia" w:ascii="Times New Roman" w:hAnsi="Times New Roman" w:eastAsia="方正仿宋_GBK"/>
                <w:spacing w:val="-8"/>
                <w:kern w:val="20"/>
                <w:sz w:val="21"/>
                <w:szCs w:val="24"/>
              </w:rPr>
              <w:t xml:space="preserve">违反本规定第二十条、第二十一条、第二十二条，构成价格违法行为的，由市场监督管理部门依据价格监管法律法规进行处罚。 </w:t>
            </w:r>
          </w:p>
        </w:tc>
      </w:tr>
      <w:tr w14:paraId="6446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898F79">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D3CC59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w:t>
            </w:r>
          </w:p>
        </w:tc>
        <w:tc>
          <w:tcPr>
            <w:tcW w:w="1712" w:type="dxa"/>
            <w:tcBorders>
              <w:top w:val="nil"/>
              <w:left w:val="nil"/>
              <w:bottom w:val="single" w:color="auto" w:sz="4" w:space="0"/>
              <w:right w:val="single" w:color="auto" w:sz="4" w:space="0"/>
              <w:tl2br w:val="nil"/>
              <w:tr2bl w:val="nil"/>
            </w:tcBorders>
            <w:noWrap w:val="0"/>
            <w:vAlign w:val="center"/>
          </w:tcPr>
          <w:p w14:paraId="01B1889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经营者在标价之外加价出售商品或者提供服务</w:t>
            </w:r>
          </w:p>
        </w:tc>
        <w:tc>
          <w:tcPr>
            <w:tcW w:w="2421" w:type="dxa"/>
            <w:tcBorders>
              <w:top w:val="nil"/>
              <w:left w:val="nil"/>
              <w:bottom w:val="single" w:color="auto" w:sz="4" w:space="0"/>
              <w:right w:val="single" w:color="auto" w:sz="4" w:space="0"/>
              <w:tl2br w:val="nil"/>
              <w:tr2bl w:val="nil"/>
            </w:tcBorders>
            <w:noWrap w:val="0"/>
            <w:vAlign w:val="center"/>
          </w:tcPr>
          <w:p w14:paraId="768AA6D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经营商品种类、数量较多，因非主观故意因素导致个别商品的标示价格与结算价格不一致；</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案涉商品数量较少，或加收的金额较小；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及时退赔加收的费用。</w:t>
            </w:r>
          </w:p>
        </w:tc>
        <w:tc>
          <w:tcPr>
            <w:tcW w:w="4771" w:type="dxa"/>
            <w:tcBorders>
              <w:top w:val="nil"/>
              <w:left w:val="nil"/>
              <w:bottom w:val="single" w:color="auto" w:sz="4" w:space="0"/>
              <w:right w:val="single" w:color="auto" w:sz="4" w:space="0"/>
              <w:tl2br w:val="nil"/>
              <w:tr2bl w:val="nil"/>
            </w:tcBorders>
            <w:noWrap w:val="0"/>
            <w:vAlign w:val="center"/>
          </w:tcPr>
          <w:p w14:paraId="017D79F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《价格法》第十三条第一款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经营者销售、收购商品和提供服务，应当按照政府价格主管部门的规定明码标价，注明商品的品名、产地、规格、等级、计价单位、价格或者服务的项目、收费标准等有关情况。</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 xml:space="preserve">《明码标价和禁止价格欺诈规定》第八条  </w:t>
            </w:r>
            <w:r>
              <w:rPr>
                <w:rFonts w:hint="eastAsia" w:ascii="Times New Roman" w:hAnsi="Times New Roman" w:eastAsia="方正仿宋_GBK"/>
                <w:kern w:val="0"/>
                <w:sz w:val="21"/>
                <w:szCs w:val="24"/>
              </w:rPr>
              <w:t>经营者在销售商品或者提供服务时，不得在标价之外加价出售商品或者提供服务，不得收取任何未予标明的费用。</w:t>
            </w:r>
          </w:p>
        </w:tc>
        <w:tc>
          <w:tcPr>
            <w:tcW w:w="4766" w:type="dxa"/>
            <w:tcBorders>
              <w:top w:val="nil"/>
              <w:left w:val="nil"/>
              <w:bottom w:val="single" w:color="auto" w:sz="4" w:space="0"/>
              <w:right w:val="single" w:color="auto" w:sz="4" w:space="0"/>
              <w:tl2br w:val="nil"/>
              <w:tr2bl w:val="nil"/>
            </w:tcBorders>
            <w:noWrap w:val="0"/>
            <w:vAlign w:val="center"/>
          </w:tcPr>
          <w:p w14:paraId="2B08845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《价格法》第四十二条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经营者违反明码标价规定的，责令改正，没收违法所得，可以并处五千元以下的罚款。</w:t>
            </w:r>
          </w:p>
        </w:tc>
      </w:tr>
      <w:tr w14:paraId="342D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3A675D">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225F5B1">
            <w:pPr>
              <w:widowControl/>
              <w:spacing w:beforeLines="0" w:afterLines="0" w:line="280" w:lineRule="exact"/>
              <w:jc w:val="center"/>
              <w:rPr>
                <w:rFonts w:hint="default" w:ascii="Times New Roman" w:hAnsi="Times New Roman" w:eastAsia="方正仿宋_GBK"/>
                <w:color w:val="FF0000"/>
                <w:kern w:val="0"/>
                <w:sz w:val="21"/>
                <w:szCs w:val="24"/>
              </w:rPr>
            </w:pPr>
            <w:r>
              <w:rPr>
                <w:rFonts w:hint="default" w:ascii="Times New Roman" w:hAnsi="Times New Roman" w:eastAsia="方正仿宋_GBK"/>
                <w:kern w:val="0"/>
                <w:sz w:val="21"/>
                <w:szCs w:val="24"/>
              </w:rPr>
              <w:t>9</w:t>
            </w:r>
          </w:p>
        </w:tc>
        <w:tc>
          <w:tcPr>
            <w:tcW w:w="1712" w:type="dxa"/>
            <w:tcBorders>
              <w:top w:val="nil"/>
              <w:left w:val="nil"/>
              <w:bottom w:val="single" w:color="auto" w:sz="4" w:space="0"/>
              <w:right w:val="single" w:color="auto" w:sz="4" w:space="0"/>
              <w:tl2br w:val="nil"/>
              <w:tr2bl w:val="nil"/>
            </w:tcBorders>
            <w:noWrap w:val="0"/>
            <w:vAlign w:val="center"/>
          </w:tcPr>
          <w:p w14:paraId="72ECC40E">
            <w:pPr>
              <w:widowControl/>
              <w:spacing w:beforeLines="0" w:afterLines="0" w:line="280" w:lineRule="exact"/>
              <w:jc w:val="left"/>
              <w:rPr>
                <w:rFonts w:hint="default" w:ascii="Times New Roman" w:hAnsi="Times New Roman" w:eastAsia="方正仿宋_GBK"/>
                <w:color w:val="FF0000"/>
                <w:kern w:val="0"/>
                <w:sz w:val="21"/>
                <w:szCs w:val="24"/>
              </w:rPr>
            </w:pPr>
            <w:r>
              <w:rPr>
                <w:rFonts w:hint="eastAsia" w:ascii="Times New Roman" w:hAnsi="Times New Roman" w:eastAsia="方正仿宋_GBK"/>
                <w:kern w:val="0"/>
                <w:sz w:val="21"/>
                <w:szCs w:val="24"/>
              </w:rPr>
              <w:t>经营者未真实准确标明被比较价格的详细信息</w:t>
            </w:r>
          </w:p>
        </w:tc>
        <w:tc>
          <w:tcPr>
            <w:tcW w:w="2421" w:type="dxa"/>
            <w:tcBorders>
              <w:top w:val="nil"/>
              <w:left w:val="nil"/>
              <w:bottom w:val="single" w:color="auto" w:sz="4" w:space="0"/>
              <w:right w:val="single" w:color="auto" w:sz="4" w:space="0"/>
              <w:tl2br w:val="nil"/>
              <w:tr2bl w:val="nil"/>
            </w:tcBorders>
            <w:noWrap w:val="0"/>
            <w:vAlign w:val="center"/>
          </w:tcPr>
          <w:p w14:paraId="5EBD2B44">
            <w:pPr>
              <w:widowControl/>
              <w:spacing w:beforeLines="0" w:afterLines="0" w:line="3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E7718A2">
            <w:pPr>
              <w:widowControl/>
              <w:spacing w:beforeLines="0" w:afterLines="0" w:line="3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33AEA3DE">
            <w:pPr>
              <w:widowControl/>
              <w:spacing w:beforeLines="0" w:afterLines="0" w:line="3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被比较价格有真实依据，对消费者欺骗、误导作用较小；</w:t>
            </w:r>
          </w:p>
          <w:p w14:paraId="11D3866A">
            <w:pPr>
              <w:widowControl/>
              <w:spacing w:beforeLines="0" w:afterLines="0" w:line="280" w:lineRule="exact"/>
              <w:jc w:val="left"/>
              <w:rPr>
                <w:rFonts w:hint="default" w:ascii="Times New Roman" w:hAnsi="Times New Roman" w:eastAsia="方正仿宋_GBK"/>
                <w:color w:val="FF0000"/>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2F50FB3">
            <w:pPr>
              <w:widowControl/>
              <w:spacing w:beforeLines="0" w:afterLines="0" w:line="3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《价格法》第十四条第四项  </w:t>
            </w:r>
            <w:r>
              <w:rPr>
                <w:rFonts w:hint="eastAsia" w:ascii="Times New Roman" w:hAnsi="Times New Roman" w:eastAsia="方正仿宋_GBK"/>
                <w:kern w:val="0"/>
                <w:sz w:val="21"/>
                <w:szCs w:val="24"/>
              </w:rPr>
              <w:t>经营者不得有下列不正当价格行为：（四）利用虚假的或者使人误解的价格手段，诱骗消费者或者其他经营者与其进行交易；</w:t>
            </w:r>
          </w:p>
          <w:p w14:paraId="63A8A671">
            <w:pPr>
              <w:widowControl/>
              <w:spacing w:beforeLines="0" w:afterLines="0" w:line="34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《明码标价和禁止价格欺诈规定》第十六条  </w:t>
            </w:r>
            <w:r>
              <w:rPr>
                <w:rFonts w:hint="eastAsia" w:ascii="Times New Roman" w:hAnsi="Times New Roman" w:eastAsia="方正仿宋_GBK"/>
                <w:kern w:val="0"/>
                <w:sz w:val="21"/>
                <w:szCs w:val="24"/>
              </w:rPr>
              <w:t>经营者在销售商品或提供服务时进行价格比较的，标明的被比较价格信息应当真实准确。</w:t>
            </w:r>
          </w:p>
          <w:p w14:paraId="53CDE9C9">
            <w:pPr>
              <w:widowControl/>
              <w:spacing w:beforeLines="0" w:afterLines="0" w:line="34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经营者未标明被比较价格的详细信息的，被比较价格应当不高于该经营者在同一经营场所进行价格比较前七日内的最低成交价格；前七日内没有交易的，应当不高于本次价格比较前最后一次交易价格。</w:t>
            </w:r>
          </w:p>
          <w:p w14:paraId="1F4C2473">
            <w:pPr>
              <w:widowControl/>
              <w:spacing w:beforeLines="0" w:afterLines="0" w:line="280" w:lineRule="exact"/>
              <w:jc w:val="left"/>
              <w:rPr>
                <w:rFonts w:hint="default" w:ascii="Times New Roman" w:hAnsi="Times New Roman" w:eastAsia="方正仿宋_GBK"/>
                <w:b/>
                <w:color w:val="FF0000"/>
                <w:kern w:val="0"/>
                <w:sz w:val="21"/>
                <w:szCs w:val="24"/>
              </w:rPr>
            </w:pPr>
            <w:r>
              <w:rPr>
                <w:rFonts w:hint="default" w:ascii="Times New Roman" w:hAnsi="Times New Roman" w:eastAsia="方正仿宋_GBK"/>
                <w:b/>
                <w:kern w:val="0"/>
                <w:sz w:val="21"/>
                <w:szCs w:val="24"/>
              </w:rPr>
              <w:t xml:space="preserve">    </w:t>
            </w:r>
            <w:r>
              <w:rPr>
                <w:rFonts w:hint="eastAsia" w:ascii="Times New Roman" w:hAnsi="Times New Roman" w:eastAsia="方正仿宋_GBK"/>
                <w:kern w:val="0"/>
                <w:sz w:val="21"/>
                <w:szCs w:val="24"/>
              </w:rPr>
              <w:t>与厂商建议零售价进行价格比较的，应当明确标示被比较价格为厂商建议零售价。厂商建议零售价发生变动时，应当立即更新。</w:t>
            </w:r>
          </w:p>
        </w:tc>
        <w:tc>
          <w:tcPr>
            <w:tcW w:w="4766" w:type="dxa"/>
            <w:tcBorders>
              <w:top w:val="nil"/>
              <w:left w:val="nil"/>
              <w:bottom w:val="single" w:color="auto" w:sz="4" w:space="0"/>
              <w:right w:val="single" w:color="auto" w:sz="4" w:space="0"/>
              <w:tl2br w:val="nil"/>
              <w:tr2bl w:val="nil"/>
            </w:tcBorders>
            <w:noWrap w:val="0"/>
            <w:vAlign w:val="center"/>
          </w:tcPr>
          <w:p w14:paraId="64EFE494">
            <w:pPr>
              <w:widowControl/>
              <w:spacing w:beforeLines="0" w:afterLines="0" w:line="3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《价格法》第四十条第一款  </w:t>
            </w:r>
            <w:r>
              <w:rPr>
                <w:rFonts w:hint="eastAsia" w:ascii="Times New Roman" w:hAnsi="Times New Roman" w:eastAsia="方正仿宋_GBK"/>
                <w:kern w:val="0"/>
                <w:sz w:val="21"/>
                <w:szCs w:val="24"/>
              </w:rPr>
              <w:t>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0070BFE2">
            <w:pPr>
              <w:widowControl/>
              <w:spacing w:beforeLines="0" w:afterLines="0" w:line="280" w:lineRule="exact"/>
              <w:jc w:val="left"/>
              <w:rPr>
                <w:rFonts w:hint="default" w:ascii="Times New Roman" w:hAnsi="Times New Roman" w:eastAsia="方正仿宋_GBK"/>
                <w:b/>
                <w:color w:val="FF0000"/>
                <w:kern w:val="0"/>
                <w:sz w:val="21"/>
                <w:szCs w:val="24"/>
              </w:rPr>
            </w:pPr>
            <w:r>
              <w:rPr>
                <w:rFonts w:hint="eastAsia" w:ascii="Times New Roman" w:hAnsi="Times New Roman" w:eastAsia="方正仿宋_GBK"/>
                <w:b/>
                <w:kern w:val="0"/>
                <w:sz w:val="21"/>
                <w:szCs w:val="24"/>
              </w:rPr>
              <w:t>《明码标价和禁止价格欺诈规定》第二十三条</w:t>
            </w:r>
            <w:r>
              <w:rPr>
                <w:rFonts w:hint="eastAsia" w:ascii="Times New Roman" w:hAnsi="Times New Roman" w:eastAsia="方正仿宋_GBK"/>
                <w:kern w:val="0"/>
                <w:sz w:val="21"/>
                <w:szCs w:val="24"/>
              </w:rPr>
              <w:t>经营者违反本规定第十六条至第二十条规定的，由县级以上市场监督管理部门依照《中华人民共和国价格法》、《中华人民共和国反不正当竞争法》、《中华人民共和国电子商务法》、《价格违法行为行政处罚规定》等法律、行政法规进行处罚。</w:t>
            </w:r>
          </w:p>
        </w:tc>
      </w:tr>
      <w:tr w14:paraId="1125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FA4064">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不公平竞争</w:t>
            </w:r>
          </w:p>
        </w:tc>
        <w:tc>
          <w:tcPr>
            <w:tcW w:w="807" w:type="dxa"/>
            <w:tcBorders>
              <w:top w:val="nil"/>
              <w:left w:val="nil"/>
              <w:bottom w:val="single" w:color="auto" w:sz="4" w:space="0"/>
              <w:right w:val="single" w:color="auto" w:sz="4" w:space="0"/>
              <w:tl2br w:val="nil"/>
              <w:tr2bl w:val="nil"/>
            </w:tcBorders>
            <w:noWrap w:val="0"/>
            <w:vAlign w:val="center"/>
          </w:tcPr>
          <w:p w14:paraId="55E1017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w:t>
            </w:r>
          </w:p>
        </w:tc>
        <w:tc>
          <w:tcPr>
            <w:tcW w:w="1712" w:type="dxa"/>
            <w:tcBorders>
              <w:top w:val="nil"/>
              <w:left w:val="nil"/>
              <w:bottom w:val="single" w:color="auto" w:sz="4" w:space="0"/>
              <w:right w:val="single" w:color="auto" w:sz="4" w:space="0"/>
              <w:tl2br w:val="nil"/>
              <w:tr2bl w:val="nil"/>
            </w:tcBorders>
            <w:noWrap w:val="0"/>
            <w:vAlign w:val="center"/>
          </w:tcPr>
          <w:p w14:paraId="3C75A69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有奖销售公布的信息不全面</w:t>
            </w:r>
          </w:p>
        </w:tc>
        <w:tc>
          <w:tcPr>
            <w:tcW w:w="2421" w:type="dxa"/>
            <w:tcBorders>
              <w:top w:val="nil"/>
              <w:left w:val="nil"/>
              <w:bottom w:val="single" w:color="auto" w:sz="4" w:space="0"/>
              <w:right w:val="single" w:color="auto" w:sz="4" w:space="0"/>
              <w:tl2br w:val="nil"/>
              <w:tr2bl w:val="nil"/>
            </w:tcBorders>
            <w:noWrap w:val="0"/>
            <w:vAlign w:val="center"/>
          </w:tcPr>
          <w:p w14:paraId="0375DC1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xml:space="preserve">同时具备以下条件： </w:t>
            </w:r>
          </w:p>
          <w:p w14:paraId="7F2595E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10E636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2. </w:t>
            </w:r>
            <w:r>
              <w:rPr>
                <w:rFonts w:hint="eastAsia" w:ascii="Times New Roman" w:hAnsi="Times New Roman" w:eastAsia="方正仿宋_GBK"/>
                <w:kern w:val="0"/>
                <w:sz w:val="21"/>
                <w:szCs w:val="24"/>
              </w:rPr>
              <w:t>缺漏的信息不属于 所设奖的种类、兑奖条 件、奖金金额或者奖品 等影响兑奖的信息；</w:t>
            </w:r>
          </w:p>
          <w:p w14:paraId="1F088841">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6F99385">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《规范促销行为暂行规定》第十三条第一款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tc>
        <w:tc>
          <w:tcPr>
            <w:tcW w:w="4766" w:type="dxa"/>
            <w:tcBorders>
              <w:top w:val="nil"/>
              <w:left w:val="nil"/>
              <w:bottom w:val="single" w:color="auto" w:sz="4" w:space="0"/>
              <w:right w:val="single" w:color="auto" w:sz="4" w:space="0"/>
              <w:tl2br w:val="nil"/>
              <w:tr2bl w:val="nil"/>
            </w:tcBorders>
            <w:noWrap w:val="0"/>
            <w:vAlign w:val="center"/>
          </w:tcPr>
          <w:p w14:paraId="7A5038CD">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《规范促销行为暂行规定》第二十七条  </w:t>
            </w:r>
            <w:r>
              <w:rPr>
                <w:rFonts w:hint="eastAsia" w:ascii="Times New Roman" w:hAnsi="Times New Roman" w:eastAsia="方正仿宋_GBK"/>
                <w:kern w:val="0"/>
                <w:sz w:val="21"/>
                <w:szCs w:val="24"/>
              </w:rPr>
              <w:t>违反本规定第十三条第一款、第十四条、第十五条、第十六条、第十七条，由市场监督管理部门依据反不正当竞争法第二十二条的规定进行处罚。</w:t>
            </w:r>
          </w:p>
          <w:p w14:paraId="00A27361">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《反不正当竞争法》第二十二条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经营者违反本法第十条规定进行有奖销售的，由监督检查部门责令停止违法行为，处五万元以上五十万元以下的罚款。</w:t>
            </w:r>
          </w:p>
        </w:tc>
      </w:tr>
      <w:tr w14:paraId="5BDF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4DE9DF">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33E2FC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11</w:t>
            </w:r>
          </w:p>
        </w:tc>
        <w:tc>
          <w:tcPr>
            <w:tcW w:w="1712" w:type="dxa"/>
            <w:tcBorders>
              <w:top w:val="nil"/>
              <w:left w:val="nil"/>
              <w:bottom w:val="single" w:color="auto" w:sz="4" w:space="0"/>
              <w:right w:val="single" w:color="auto" w:sz="4" w:space="0"/>
              <w:tl2br w:val="nil"/>
              <w:tr2bl w:val="nil"/>
            </w:tcBorders>
            <w:noWrap w:val="0"/>
            <w:vAlign w:val="center"/>
          </w:tcPr>
          <w:p w14:paraId="12CAFAE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现场开奖，未随时公布超过五百元奖项的兑奖情况</w:t>
            </w:r>
          </w:p>
        </w:tc>
        <w:tc>
          <w:tcPr>
            <w:tcW w:w="2421" w:type="dxa"/>
            <w:tcBorders>
              <w:top w:val="nil"/>
              <w:left w:val="nil"/>
              <w:bottom w:val="single" w:color="auto" w:sz="4" w:space="0"/>
              <w:right w:val="single" w:color="auto" w:sz="4" w:space="0"/>
              <w:tl2br w:val="nil"/>
              <w:tr2bl w:val="nil"/>
            </w:tcBorders>
            <w:noWrap w:val="0"/>
            <w:vAlign w:val="center"/>
          </w:tcPr>
          <w:p w14:paraId="24DF6FB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xml:space="preserve">同时具备以下条件： </w:t>
            </w:r>
          </w:p>
          <w:p w14:paraId="2441717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29878F2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未公布的兑奖数量较少且占比较小；</w:t>
            </w:r>
          </w:p>
          <w:p w14:paraId="6CCC064B">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FEFC532">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《规范促销行为暂行规定》第十三条第二款</w:t>
            </w:r>
          </w:p>
          <w:p w14:paraId="615E5AE1">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在现场即时开奖的有奖销售活动中 ，对超过五百元奖项的兑奖情况 ，应当随时公示。</w:t>
            </w:r>
          </w:p>
        </w:tc>
        <w:tc>
          <w:tcPr>
            <w:tcW w:w="4766" w:type="dxa"/>
            <w:tcBorders>
              <w:top w:val="nil"/>
              <w:left w:val="nil"/>
              <w:bottom w:val="single" w:color="auto" w:sz="4" w:space="0"/>
              <w:right w:val="single" w:color="auto" w:sz="4" w:space="0"/>
              <w:tl2br w:val="nil"/>
              <w:tr2bl w:val="nil"/>
            </w:tcBorders>
            <w:noWrap w:val="0"/>
            <w:vAlign w:val="center"/>
          </w:tcPr>
          <w:p w14:paraId="04BEF0EA">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《规范促销行为暂行规定》第二十八条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 本规定第十三条第二款、第十九条 ， 由县级以 上市场监督管理部门责令改正 ，可以处一万元 以下罚款。</w:t>
            </w:r>
          </w:p>
        </w:tc>
      </w:tr>
      <w:tr w14:paraId="7556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D49F41">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2B9D27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12</w:t>
            </w:r>
          </w:p>
        </w:tc>
        <w:tc>
          <w:tcPr>
            <w:tcW w:w="1712" w:type="dxa"/>
            <w:tcBorders>
              <w:top w:val="nil"/>
              <w:left w:val="nil"/>
              <w:bottom w:val="single" w:color="auto" w:sz="4" w:space="0"/>
              <w:right w:val="single" w:color="auto" w:sz="4" w:space="0"/>
              <w:tl2br w:val="nil"/>
              <w:tr2bl w:val="nil"/>
            </w:tcBorders>
            <w:noWrap w:val="0"/>
            <w:vAlign w:val="center"/>
          </w:tcPr>
          <w:p w14:paraId="428AA39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经营者未按规定建立有奖销售档案</w:t>
            </w:r>
          </w:p>
        </w:tc>
        <w:tc>
          <w:tcPr>
            <w:tcW w:w="2421" w:type="dxa"/>
            <w:tcBorders>
              <w:top w:val="nil"/>
              <w:left w:val="nil"/>
              <w:bottom w:val="single" w:color="auto" w:sz="4" w:space="0"/>
              <w:right w:val="single" w:color="auto" w:sz="4" w:space="0"/>
              <w:tl2br w:val="nil"/>
              <w:tr2bl w:val="nil"/>
            </w:tcBorders>
            <w:noWrap w:val="0"/>
            <w:vAlign w:val="center"/>
          </w:tcPr>
          <w:p w14:paraId="2D820F9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F70829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165BF0C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2. </w:t>
            </w:r>
            <w:r>
              <w:rPr>
                <w:rFonts w:hint="eastAsia" w:ascii="Times New Roman" w:hAnsi="Times New Roman" w:eastAsia="方正仿宋_GBK"/>
                <w:kern w:val="0"/>
                <w:sz w:val="21"/>
                <w:szCs w:val="24"/>
              </w:rPr>
              <w:t>有奖销售没有引起 消费者权益争议或者不影响市场监管部门对相关争议的调查处理；</w:t>
            </w:r>
          </w:p>
          <w:p w14:paraId="14E0F87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3F1D3C6">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《规范促销行为暂行规定》第十九条   </w:t>
            </w:r>
            <w:r>
              <w:rPr>
                <w:rFonts w:hint="eastAsia" w:ascii="Times New Roman" w:hAnsi="Times New Roman" w:eastAsia="方正仿宋_GBK"/>
                <w:kern w:val="0"/>
                <w:sz w:val="21"/>
                <w:szCs w:val="24"/>
              </w:rPr>
              <w:t>经营者应当建立档案，如实、准确、完整地记录设奖规则 、公示信息、兑奖结果、获奖人员等内容，妥善保存两年并依法接受监督检查。</w:t>
            </w:r>
          </w:p>
        </w:tc>
        <w:tc>
          <w:tcPr>
            <w:tcW w:w="4766" w:type="dxa"/>
            <w:tcBorders>
              <w:top w:val="nil"/>
              <w:left w:val="nil"/>
              <w:bottom w:val="single" w:color="auto" w:sz="4" w:space="0"/>
              <w:right w:val="single" w:color="auto" w:sz="4" w:space="0"/>
              <w:tl2br w:val="nil"/>
              <w:tr2bl w:val="nil"/>
            </w:tcBorders>
            <w:noWrap w:val="0"/>
            <w:vAlign w:val="center"/>
          </w:tcPr>
          <w:p w14:paraId="7F6029E9">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《规范促销行为暂行规定》第二十八条   </w:t>
            </w:r>
            <w:r>
              <w:rPr>
                <w:rFonts w:hint="eastAsia" w:ascii="Times New Roman" w:hAnsi="Times New Roman" w:eastAsia="方正仿宋_GBK"/>
                <w:kern w:val="0"/>
                <w:sz w:val="21"/>
                <w:szCs w:val="24"/>
              </w:rPr>
              <w:t>违反 本规定第十三条第二款、第十九条， 由县级以 上市场监督管理部门责令改正，可以处一万元以下罚款。</w:t>
            </w:r>
          </w:p>
        </w:tc>
      </w:tr>
      <w:tr w14:paraId="171C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0078FA">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C596C17">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13</w:t>
            </w:r>
          </w:p>
        </w:tc>
        <w:tc>
          <w:tcPr>
            <w:tcW w:w="1712" w:type="dxa"/>
            <w:tcBorders>
              <w:top w:val="nil"/>
              <w:left w:val="nil"/>
              <w:bottom w:val="single" w:color="auto" w:sz="4" w:space="0"/>
              <w:right w:val="single" w:color="auto" w:sz="4" w:space="0"/>
              <w:tl2br w:val="nil"/>
              <w:tr2bl w:val="nil"/>
            </w:tcBorders>
            <w:noWrap w:val="0"/>
            <w:vAlign w:val="center"/>
          </w:tcPr>
          <w:p w14:paraId="1325B83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经营者未履行优惠承诺</w:t>
            </w:r>
          </w:p>
        </w:tc>
        <w:tc>
          <w:tcPr>
            <w:tcW w:w="2421" w:type="dxa"/>
            <w:tcBorders>
              <w:top w:val="nil"/>
              <w:left w:val="nil"/>
              <w:bottom w:val="single" w:color="auto" w:sz="4" w:space="0"/>
              <w:right w:val="single" w:color="auto" w:sz="4" w:space="0"/>
              <w:tl2br w:val="nil"/>
              <w:tr2bl w:val="nil"/>
            </w:tcBorders>
            <w:noWrap w:val="0"/>
            <w:vAlign w:val="center"/>
          </w:tcPr>
          <w:p w14:paraId="0E862E9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xml:space="preserve">同时具备以下条件： </w:t>
            </w:r>
          </w:p>
          <w:p w14:paraId="720B796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0324509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2. </w:t>
            </w:r>
            <w:r>
              <w:rPr>
                <w:rFonts w:hint="eastAsia" w:ascii="Times New Roman" w:hAnsi="Times New Roman" w:eastAsia="方正仿宋_GBK"/>
                <w:kern w:val="0"/>
                <w:sz w:val="21"/>
                <w:szCs w:val="24"/>
              </w:rPr>
              <w:t>涉及的消费者人数较少且金额较小；</w:t>
            </w:r>
          </w:p>
          <w:p w14:paraId="2269898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2517231">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《规范促销行为暂行规定》第六条  </w:t>
            </w:r>
            <w:r>
              <w:rPr>
                <w:rFonts w:hint="eastAsia" w:ascii="Times New Roman" w:hAnsi="Times New Roman" w:eastAsia="方正仿宋_GBK"/>
                <w:kern w:val="0"/>
                <w:sz w:val="21"/>
                <w:szCs w:val="24"/>
              </w:rPr>
              <w:t>经营者通过商业广告、产品说明、销售推介、实物样品或者通知、声明、店堂告示等方式作出优惠承诺的，应当履行承诺。</w:t>
            </w:r>
          </w:p>
        </w:tc>
        <w:tc>
          <w:tcPr>
            <w:tcW w:w="4766" w:type="dxa"/>
            <w:tcBorders>
              <w:top w:val="nil"/>
              <w:left w:val="nil"/>
              <w:bottom w:val="single" w:color="auto" w:sz="4" w:space="0"/>
              <w:right w:val="single" w:color="auto" w:sz="4" w:space="0"/>
              <w:tl2br w:val="nil"/>
              <w:tr2bl w:val="nil"/>
            </w:tcBorders>
            <w:noWrap w:val="0"/>
            <w:vAlign w:val="center"/>
          </w:tcPr>
          <w:p w14:paraId="69C32F89">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《规范促销行为暂行规定》第二十四条   </w:t>
            </w:r>
            <w:r>
              <w:rPr>
                <w:rFonts w:hint="eastAsia" w:ascii="Times New Roman" w:hAnsi="Times New Roman" w:eastAsia="方正仿宋_GBK"/>
                <w:kern w:val="0"/>
                <w:sz w:val="21"/>
                <w:szCs w:val="24"/>
              </w:rPr>
              <w:t>违反 本规定第六条、第八条、第十条 ，法律法规有 规定的，从其规定；法律法规没有规定的 ， 由 县级以上市场监督管理部门责令改正 ；可处违 法所得三倍以下罚款，但最高不超过三万元； 没有违法所得的，可处一万元以下罚款。</w:t>
            </w:r>
          </w:p>
        </w:tc>
      </w:tr>
      <w:tr w14:paraId="5C82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67EC11">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电子商务</w:t>
            </w:r>
          </w:p>
        </w:tc>
        <w:tc>
          <w:tcPr>
            <w:tcW w:w="807" w:type="dxa"/>
            <w:tcBorders>
              <w:top w:val="nil"/>
              <w:left w:val="nil"/>
              <w:bottom w:val="single" w:color="auto" w:sz="4" w:space="0"/>
              <w:right w:val="single" w:color="auto" w:sz="4" w:space="0"/>
              <w:tl2br w:val="nil"/>
              <w:tr2bl w:val="nil"/>
            </w:tcBorders>
            <w:noWrap w:val="0"/>
            <w:vAlign w:val="center"/>
          </w:tcPr>
          <w:p w14:paraId="7900BEF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14</w:t>
            </w:r>
          </w:p>
        </w:tc>
        <w:tc>
          <w:tcPr>
            <w:tcW w:w="1712" w:type="dxa"/>
            <w:tcBorders>
              <w:top w:val="nil"/>
              <w:left w:val="nil"/>
              <w:bottom w:val="single" w:color="auto" w:sz="4" w:space="0"/>
              <w:right w:val="single" w:color="auto" w:sz="4" w:space="0"/>
              <w:tl2br w:val="nil"/>
              <w:tr2bl w:val="nil"/>
            </w:tcBorders>
            <w:noWrap w:val="0"/>
            <w:vAlign w:val="center"/>
          </w:tcPr>
          <w:p w14:paraId="2621456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电子商务经营者未依法在首页显著位置公示营业执照信息等信息</w:t>
            </w:r>
          </w:p>
        </w:tc>
        <w:tc>
          <w:tcPr>
            <w:tcW w:w="2421" w:type="dxa"/>
            <w:tcBorders>
              <w:top w:val="nil"/>
              <w:left w:val="nil"/>
              <w:bottom w:val="single" w:color="auto" w:sz="4" w:space="0"/>
              <w:right w:val="single" w:color="auto" w:sz="4" w:space="0"/>
              <w:tl2br w:val="nil"/>
              <w:tr2bl w:val="nil"/>
            </w:tcBorders>
            <w:noWrap w:val="0"/>
            <w:vAlign w:val="center"/>
          </w:tcPr>
          <w:p w14:paraId="705C9C8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A1C3ED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F63F76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75FD27B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危害后果轻微。</w:t>
            </w:r>
          </w:p>
        </w:tc>
        <w:tc>
          <w:tcPr>
            <w:tcW w:w="4771" w:type="dxa"/>
            <w:tcBorders>
              <w:top w:val="nil"/>
              <w:left w:val="nil"/>
              <w:bottom w:val="single" w:color="auto" w:sz="4" w:space="0"/>
              <w:right w:val="single" w:color="auto" w:sz="4" w:space="0"/>
              <w:tl2br w:val="nil"/>
              <w:tr2bl w:val="nil"/>
            </w:tcBorders>
            <w:noWrap w:val="0"/>
            <w:vAlign w:val="center"/>
          </w:tcPr>
          <w:p w14:paraId="7851E6E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《电子商务法》第十五条第一款</w:t>
            </w:r>
            <w:r>
              <w:rPr>
                <w:rFonts w:hint="eastAsia" w:ascii="Times New Roman" w:hAnsi="Times New Roman" w:eastAsia="方正仿宋_GBK"/>
                <w:kern w:val="0"/>
                <w:sz w:val="21"/>
                <w:szCs w:val="24"/>
              </w:rPr>
              <w:t>　电子商务经营者应当在其首页显著位置，持续公示营业执照信息、与其经营业务有关的行政许可信息、属于依照本法第十条规定的不需要办理市场主体登记情形等信息，或者上述信息的链接标识。</w:t>
            </w:r>
          </w:p>
        </w:tc>
        <w:tc>
          <w:tcPr>
            <w:tcW w:w="4766" w:type="dxa"/>
            <w:tcBorders>
              <w:top w:val="nil"/>
              <w:left w:val="nil"/>
              <w:bottom w:val="single" w:color="auto" w:sz="4" w:space="0"/>
              <w:right w:val="single" w:color="auto" w:sz="4" w:space="0"/>
              <w:tl2br w:val="nil"/>
              <w:tr2bl w:val="nil"/>
            </w:tcBorders>
            <w:noWrap w:val="0"/>
            <w:vAlign w:val="center"/>
          </w:tcPr>
          <w:p w14:paraId="3A129ED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《电子商务法》第七十六条第一款第一项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14:paraId="35F3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9FE09A">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A1101D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15</w:t>
            </w:r>
          </w:p>
        </w:tc>
        <w:tc>
          <w:tcPr>
            <w:tcW w:w="1712" w:type="dxa"/>
            <w:tcBorders>
              <w:top w:val="nil"/>
              <w:left w:val="nil"/>
              <w:bottom w:val="single" w:color="auto" w:sz="4" w:space="0"/>
              <w:right w:val="single" w:color="auto" w:sz="4" w:space="0"/>
              <w:tl2br w:val="nil"/>
              <w:tr2bl w:val="nil"/>
            </w:tcBorders>
            <w:noWrap w:val="0"/>
            <w:vAlign w:val="center"/>
          </w:tcPr>
          <w:p w14:paraId="66A1E14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营业执照等信息发生变更时，电子商务经营者未依法及时更新公示信息</w:t>
            </w:r>
          </w:p>
        </w:tc>
        <w:tc>
          <w:tcPr>
            <w:tcW w:w="2421" w:type="dxa"/>
            <w:tcBorders>
              <w:top w:val="nil"/>
              <w:left w:val="nil"/>
              <w:bottom w:val="single" w:color="auto" w:sz="4" w:space="0"/>
              <w:right w:val="single" w:color="auto" w:sz="4" w:space="0"/>
              <w:tl2br w:val="nil"/>
              <w:tr2bl w:val="nil"/>
            </w:tcBorders>
            <w:noWrap w:val="0"/>
            <w:vAlign w:val="center"/>
          </w:tcPr>
          <w:p w14:paraId="6B664D5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09281E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4D9946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1ECADB5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11640F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电子商务经营者应当在其首页显著位置，持续公示营业执照信息、与其经营业务有关的行政许可信息、属于依照本法第十条规定的不需要办理市场主体登记情形等信息，或者上述信息的链接标识。</w:t>
            </w:r>
          </w:p>
          <w:p w14:paraId="4BAE468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前款规定的信息发生变更的，电子商务经营者应当及时更新公示信息。</w:t>
            </w:r>
          </w:p>
        </w:tc>
        <w:tc>
          <w:tcPr>
            <w:tcW w:w="4766" w:type="dxa"/>
            <w:tcBorders>
              <w:top w:val="nil"/>
              <w:left w:val="nil"/>
              <w:bottom w:val="single" w:color="auto" w:sz="4" w:space="0"/>
              <w:right w:val="single" w:color="auto" w:sz="4" w:space="0"/>
              <w:tl2br w:val="nil"/>
              <w:tr2bl w:val="nil"/>
            </w:tcBorders>
            <w:noWrap w:val="0"/>
            <w:vAlign w:val="center"/>
          </w:tcPr>
          <w:p w14:paraId="69C3192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《电子商务法》第七十六条第一款第一项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14:paraId="7C76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561D3F">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D5C069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16</w:t>
            </w:r>
          </w:p>
        </w:tc>
        <w:tc>
          <w:tcPr>
            <w:tcW w:w="1712" w:type="dxa"/>
            <w:tcBorders>
              <w:top w:val="nil"/>
              <w:left w:val="nil"/>
              <w:bottom w:val="single" w:color="auto" w:sz="4" w:space="0"/>
              <w:right w:val="single" w:color="auto" w:sz="4" w:space="0"/>
              <w:tl2br w:val="nil"/>
              <w:tr2bl w:val="nil"/>
            </w:tcBorders>
            <w:noWrap w:val="0"/>
            <w:vAlign w:val="center"/>
          </w:tcPr>
          <w:p w14:paraId="444D7E8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电子商务经营者未依法公示终止电子商务的信息</w:t>
            </w:r>
          </w:p>
        </w:tc>
        <w:tc>
          <w:tcPr>
            <w:tcW w:w="2421" w:type="dxa"/>
            <w:tcBorders>
              <w:top w:val="nil"/>
              <w:left w:val="nil"/>
              <w:bottom w:val="single" w:color="auto" w:sz="4" w:space="0"/>
              <w:right w:val="single" w:color="auto" w:sz="4" w:space="0"/>
              <w:tl2br w:val="nil"/>
              <w:tr2bl w:val="nil"/>
            </w:tcBorders>
            <w:noWrap w:val="0"/>
            <w:vAlign w:val="center"/>
          </w:tcPr>
          <w:p w14:paraId="63A3429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3B0548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5469B98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对消费者权益造成的影响较小；</w:t>
            </w:r>
          </w:p>
          <w:p w14:paraId="03E5589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E84642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电子商务经营者自行终止从事电子商务的，应当提前三十日在首页显著位置持续公示有关信息。</w:t>
            </w:r>
          </w:p>
        </w:tc>
        <w:tc>
          <w:tcPr>
            <w:tcW w:w="4766" w:type="dxa"/>
            <w:tcBorders>
              <w:top w:val="nil"/>
              <w:left w:val="nil"/>
              <w:bottom w:val="single" w:color="auto" w:sz="4" w:space="0"/>
              <w:right w:val="single" w:color="auto" w:sz="4" w:space="0"/>
              <w:tl2br w:val="nil"/>
              <w:tr2bl w:val="nil"/>
            </w:tcBorders>
            <w:noWrap w:val="0"/>
            <w:vAlign w:val="center"/>
          </w:tcPr>
          <w:p w14:paraId="0FF6E6D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《电子商务法》第七十六条第一款第二项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r>
      <w:tr w14:paraId="2566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BC81F2">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CF3601E">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17</w:t>
            </w:r>
          </w:p>
        </w:tc>
        <w:tc>
          <w:tcPr>
            <w:tcW w:w="1712" w:type="dxa"/>
            <w:tcBorders>
              <w:top w:val="nil"/>
              <w:left w:val="nil"/>
              <w:bottom w:val="single" w:color="auto" w:sz="4" w:space="0"/>
              <w:right w:val="single" w:color="auto" w:sz="4" w:space="0"/>
              <w:tl2br w:val="nil"/>
              <w:tr2bl w:val="nil"/>
            </w:tcBorders>
            <w:noWrap w:val="0"/>
            <w:vAlign w:val="center"/>
          </w:tcPr>
          <w:p w14:paraId="632E809A">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电子商务经营者未明示用户信息查询、更正、删除以及用户注销的方式、程序</w:t>
            </w:r>
          </w:p>
        </w:tc>
        <w:tc>
          <w:tcPr>
            <w:tcW w:w="2421" w:type="dxa"/>
            <w:tcBorders>
              <w:top w:val="nil"/>
              <w:left w:val="nil"/>
              <w:bottom w:val="single" w:color="auto" w:sz="4" w:space="0"/>
              <w:right w:val="single" w:color="auto" w:sz="4" w:space="0"/>
              <w:tl2br w:val="nil"/>
              <w:tr2bl w:val="nil"/>
            </w:tcBorders>
            <w:noWrap w:val="0"/>
            <w:vAlign w:val="center"/>
          </w:tcPr>
          <w:p w14:paraId="6B03D1C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6B5BF6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F5802B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消费者可以较容易实现用户信息查询、更正、删除以及用户注销；</w:t>
            </w:r>
          </w:p>
          <w:p w14:paraId="2974C14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A1C10B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《电子商务法》第二十四条第一款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电子商务经营者应当明示用户信息查询、更正、删除以及用户注销的方式、程序，不得对用户信息查询、更正、删除以及用户注销设置不合理条件。</w:t>
            </w:r>
          </w:p>
        </w:tc>
        <w:tc>
          <w:tcPr>
            <w:tcW w:w="4766" w:type="dxa"/>
            <w:tcBorders>
              <w:top w:val="nil"/>
              <w:left w:val="nil"/>
              <w:bottom w:val="single" w:color="auto" w:sz="4" w:space="0"/>
              <w:right w:val="single" w:color="auto" w:sz="4" w:space="0"/>
              <w:tl2br w:val="nil"/>
              <w:tr2bl w:val="nil"/>
            </w:tcBorders>
            <w:noWrap w:val="0"/>
            <w:vAlign w:val="center"/>
          </w:tcPr>
          <w:p w14:paraId="70D3A763">
            <w:pPr>
              <w:widowControl/>
              <w:spacing w:beforeLines="0" w:after="24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《电子商务法》第七十六条第一款第三项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r>
      <w:tr w14:paraId="3F48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restart"/>
            <w:tcBorders>
              <w:top w:val="single" w:color="auto" w:sz="4" w:space="0"/>
              <w:left w:val="single" w:color="auto" w:sz="4" w:space="0"/>
              <w:right w:val="single" w:color="auto" w:sz="4" w:space="0"/>
              <w:tl2br w:val="nil"/>
              <w:tr2bl w:val="nil"/>
            </w:tcBorders>
            <w:noWrap w:val="0"/>
            <w:vAlign w:val="center"/>
          </w:tcPr>
          <w:p w14:paraId="01549FBA">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广告</w:t>
            </w:r>
          </w:p>
        </w:tc>
        <w:tc>
          <w:tcPr>
            <w:tcW w:w="807" w:type="dxa"/>
            <w:tcBorders>
              <w:top w:val="nil"/>
              <w:left w:val="nil"/>
              <w:bottom w:val="single" w:color="auto" w:sz="4" w:space="0"/>
              <w:right w:val="single" w:color="auto" w:sz="4" w:space="0"/>
              <w:tl2br w:val="nil"/>
              <w:tr2bl w:val="nil"/>
            </w:tcBorders>
            <w:noWrap w:val="0"/>
            <w:vAlign w:val="center"/>
          </w:tcPr>
          <w:p w14:paraId="713208A4">
            <w:pPr>
              <w:widowControl/>
              <w:spacing w:beforeLines="0" w:afterLines="0" w:line="280" w:lineRule="exact"/>
              <w:jc w:val="center"/>
              <w:rPr>
                <w:rFonts w:hint="default" w:ascii="Times New Roman" w:hAnsi="Times New Roman" w:eastAsia="方正仿宋_GBK"/>
                <w:color w:val="FF0000"/>
                <w:kern w:val="0"/>
                <w:sz w:val="21"/>
                <w:szCs w:val="24"/>
              </w:rPr>
            </w:pPr>
            <w:r>
              <w:rPr>
                <w:rFonts w:hint="default" w:ascii="Times New Roman" w:hAnsi="Times New Roman" w:eastAsia="方正仿宋_GBK"/>
                <w:kern w:val="0"/>
                <w:sz w:val="21"/>
                <w:szCs w:val="24"/>
              </w:rPr>
              <w:t>18</w:t>
            </w:r>
          </w:p>
        </w:tc>
        <w:tc>
          <w:tcPr>
            <w:tcW w:w="1712" w:type="dxa"/>
            <w:tcBorders>
              <w:top w:val="nil"/>
              <w:left w:val="nil"/>
              <w:bottom w:val="single" w:color="auto" w:sz="4" w:space="0"/>
              <w:right w:val="single" w:color="auto" w:sz="4" w:space="0"/>
              <w:tl2br w:val="nil"/>
              <w:tr2bl w:val="nil"/>
            </w:tcBorders>
            <w:noWrap w:val="0"/>
            <w:vAlign w:val="center"/>
          </w:tcPr>
          <w:p w14:paraId="77D3AD54">
            <w:pPr>
              <w:widowControl/>
              <w:spacing w:beforeLines="0" w:afterLines="0" w:line="280" w:lineRule="exact"/>
              <w:rPr>
                <w:rFonts w:hint="default" w:ascii="Times New Roman" w:hAnsi="Times New Roman" w:eastAsia="方正仿宋_GBK"/>
                <w:color w:val="FF0000"/>
                <w:kern w:val="0"/>
                <w:sz w:val="21"/>
                <w:szCs w:val="24"/>
              </w:rPr>
            </w:pPr>
            <w:r>
              <w:rPr>
                <w:rFonts w:hint="eastAsia" w:ascii="Times New Roman" w:hAnsi="Times New Roman" w:eastAsia="方正仿宋_GBK"/>
                <w:kern w:val="0"/>
                <w:sz w:val="21"/>
                <w:szCs w:val="24"/>
              </w:rPr>
              <w:t>发布虚假广告</w:t>
            </w:r>
          </w:p>
        </w:tc>
        <w:tc>
          <w:tcPr>
            <w:tcW w:w="2421" w:type="dxa"/>
            <w:tcBorders>
              <w:top w:val="nil"/>
              <w:left w:val="nil"/>
              <w:bottom w:val="single" w:color="auto" w:sz="4" w:space="0"/>
              <w:right w:val="single" w:color="auto" w:sz="4" w:space="0"/>
              <w:tl2br w:val="nil"/>
              <w:tr2bl w:val="nil"/>
            </w:tcBorders>
            <w:noWrap w:val="0"/>
            <w:vAlign w:val="center"/>
          </w:tcPr>
          <w:p w14:paraId="4E59835B">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13860384">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EC025A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在自有经营场所、自设网站或者拥有合法使用权的其他媒介发布自有商品、服务广告，且广告影响力和影响范围较小；</w:t>
            </w:r>
          </w:p>
          <w:p w14:paraId="7B82718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对市场秩序的扰乱程度较轻，且对消费者欺骗、误导作用较小；</w:t>
            </w:r>
          </w:p>
          <w:p w14:paraId="1B906B10">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违法行为持续时间较短，或浏览人数较少，或案涉商品、服务经营额较少；</w:t>
            </w:r>
          </w:p>
          <w:p w14:paraId="214D6292">
            <w:pPr>
              <w:widowControl/>
              <w:spacing w:beforeLines="0" w:afterLines="0" w:line="280" w:lineRule="exact"/>
              <w:jc w:val="left"/>
              <w:rPr>
                <w:rFonts w:hint="default" w:ascii="Times New Roman" w:hAnsi="Times New Roman" w:eastAsia="方正仿宋_GBK"/>
                <w:color w:val="FF0000"/>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30CDCC8">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《广告法》第四条第一款  </w:t>
            </w:r>
            <w:r>
              <w:rPr>
                <w:rFonts w:hint="eastAsia" w:ascii="Times New Roman" w:hAnsi="Times New Roman" w:eastAsia="方正仿宋_GBK"/>
                <w:kern w:val="0"/>
                <w:sz w:val="21"/>
                <w:szCs w:val="24"/>
              </w:rPr>
              <w:t>广告不得含有虚假或者引人误解的内容，不得欺骗、误导消费者。</w:t>
            </w:r>
          </w:p>
          <w:p w14:paraId="010B84B5">
            <w:pPr>
              <w:widowControl/>
              <w:spacing w:beforeLines="0" w:afterLines="0" w:line="26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第二十八条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广告以虚假或者引人误解的内容欺骗、误导消费者的，构成虚假广告。</w:t>
            </w:r>
          </w:p>
          <w:p w14:paraId="45431254">
            <w:pPr>
              <w:widowControl/>
              <w:spacing w:beforeLines="0" w:afterLines="0" w:line="280" w:lineRule="exact"/>
              <w:jc w:val="left"/>
              <w:rPr>
                <w:rFonts w:hint="default" w:ascii="Times New Roman" w:hAnsi="Times New Roman" w:eastAsia="方正仿宋_GBK"/>
                <w:b/>
                <w:color w:val="FF0000"/>
                <w:kern w:val="0"/>
                <w:sz w:val="21"/>
                <w:szCs w:val="24"/>
              </w:rPr>
            </w:pPr>
            <w:r>
              <w:rPr>
                <w:rFonts w:hint="eastAsia" w:ascii="Times New Roman" w:hAnsi="Times New Roman" w:eastAsia="方正仿宋_GBK"/>
                <w:kern w:val="0"/>
                <w:sz w:val="21"/>
                <w:szCs w:val="24"/>
              </w:rPr>
              <w:t>广告有下列情形之一的，为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证的科研成果、统计资料、调查结果、文摘、引用语等信息作证明材料的；（四）虚构使用商品或者接受服务的效果的；（五）以虚假或者引人误解的内容欺骗、误导消费者的其他情形。</w:t>
            </w:r>
          </w:p>
        </w:tc>
        <w:tc>
          <w:tcPr>
            <w:tcW w:w="4766" w:type="dxa"/>
            <w:tcBorders>
              <w:top w:val="nil"/>
              <w:left w:val="nil"/>
              <w:bottom w:val="single" w:color="auto" w:sz="4" w:space="0"/>
              <w:right w:val="single" w:color="auto" w:sz="4" w:space="0"/>
              <w:tl2br w:val="nil"/>
              <w:tr2bl w:val="nil"/>
            </w:tcBorders>
            <w:noWrap w:val="0"/>
            <w:vAlign w:val="center"/>
          </w:tcPr>
          <w:p w14:paraId="41BD9776">
            <w:pPr>
              <w:widowControl/>
              <w:spacing w:beforeLines="0" w:after="240" w:afterLines="0" w:line="280" w:lineRule="exact"/>
              <w:jc w:val="left"/>
              <w:rPr>
                <w:rFonts w:hint="default" w:ascii="Times New Roman" w:hAnsi="Times New Roman" w:eastAsia="方正仿宋_GBK"/>
                <w:b/>
                <w:color w:val="FF0000"/>
                <w:kern w:val="0"/>
                <w:sz w:val="21"/>
                <w:szCs w:val="24"/>
              </w:rPr>
            </w:pPr>
            <w:r>
              <w:rPr>
                <w:rFonts w:hint="eastAsia" w:ascii="Times New Roman" w:hAnsi="Times New Roman" w:eastAsia="方正仿宋_GBK"/>
                <w:b/>
                <w:kern w:val="0"/>
                <w:sz w:val="21"/>
                <w:szCs w:val="24"/>
              </w:rPr>
              <w:t xml:space="preserve">《广告法》第五十五条第一款  </w:t>
            </w:r>
            <w:r>
              <w:rPr>
                <w:rFonts w:hint="eastAsia" w:ascii="Times New Roman" w:hAnsi="Times New Roman" w:eastAsia="方正仿宋_GBK"/>
                <w:kern w:val="0"/>
                <w:sz w:val="21"/>
                <w:szCs w:val="24"/>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r>
      <w:tr w14:paraId="682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17" w:type="dxa"/>
            <w:vMerge w:val="continue"/>
            <w:tcBorders>
              <w:left w:val="single" w:color="auto" w:sz="4" w:space="0"/>
              <w:bottom w:val="single" w:color="auto" w:sz="4" w:space="0"/>
              <w:right w:val="single" w:color="auto" w:sz="4" w:space="0"/>
              <w:tl2br w:val="nil"/>
              <w:tr2bl w:val="nil"/>
            </w:tcBorders>
            <w:noWrap w:val="0"/>
            <w:vAlign w:val="center"/>
          </w:tcPr>
          <w:p w14:paraId="25E2703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1A8FCCD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19</w:t>
            </w:r>
          </w:p>
        </w:tc>
        <w:tc>
          <w:tcPr>
            <w:tcW w:w="1712" w:type="dxa"/>
            <w:tcBorders>
              <w:top w:val="nil"/>
              <w:left w:val="nil"/>
              <w:bottom w:val="single" w:color="auto" w:sz="4" w:space="0"/>
              <w:right w:val="single" w:color="auto" w:sz="4" w:space="0"/>
              <w:tl2br w:val="nil"/>
              <w:tr2bl w:val="nil"/>
            </w:tcBorders>
            <w:noWrap w:val="0"/>
            <w:vAlign w:val="center"/>
          </w:tcPr>
          <w:p w14:paraId="07C1F2A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广告未依法显著、清晰表示有关内容</w:t>
            </w:r>
          </w:p>
        </w:tc>
        <w:tc>
          <w:tcPr>
            <w:tcW w:w="2421" w:type="dxa"/>
            <w:tcBorders>
              <w:top w:val="nil"/>
              <w:left w:val="nil"/>
              <w:bottom w:val="single" w:color="auto" w:sz="4" w:space="0"/>
              <w:right w:val="single" w:color="auto" w:sz="4" w:space="0"/>
              <w:tl2br w:val="nil"/>
              <w:tr2bl w:val="nil"/>
            </w:tcBorders>
            <w:noWrap w:val="0"/>
            <w:vAlign w:val="center"/>
          </w:tcPr>
          <w:p w14:paraId="0CC0949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127A5F4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2A2B458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p w14:paraId="7DD2C16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对市场秩序的扰乱程度较轻，对消费者欺骗、误导作用较小。</w:t>
            </w:r>
          </w:p>
        </w:tc>
        <w:tc>
          <w:tcPr>
            <w:tcW w:w="4771" w:type="dxa"/>
            <w:tcBorders>
              <w:top w:val="nil"/>
              <w:left w:val="nil"/>
              <w:bottom w:val="single" w:color="auto" w:sz="4" w:space="0"/>
              <w:right w:val="single" w:color="auto" w:sz="4" w:space="0"/>
              <w:tl2br w:val="nil"/>
              <w:tr2bl w:val="nil"/>
            </w:tcBorders>
            <w:noWrap w:val="0"/>
            <w:vAlign w:val="center"/>
          </w:tcPr>
          <w:p w14:paraId="485656E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《广告法》第八条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广告中对商品的性能、功能、产地、用途、质量、成分、价格、生产者、有效期限、允诺等或者对服务的内容、提供者、形式、质量、价格、允诺等有表示的，应当准确、清楚、明白。</w:t>
            </w:r>
          </w:p>
          <w:p w14:paraId="27EFBCA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广告中表明推销的商品或者服务附带赠送的，应当明示所附带赠送商品或者服务的品种、规格、数量、期限和方式。</w:t>
            </w:r>
          </w:p>
          <w:p w14:paraId="74E5087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法律、行政法规规定广告中应当明示的内容，应当显著、清晰表示。</w:t>
            </w:r>
          </w:p>
        </w:tc>
        <w:tc>
          <w:tcPr>
            <w:tcW w:w="4766" w:type="dxa"/>
            <w:tcBorders>
              <w:top w:val="nil"/>
              <w:left w:val="nil"/>
              <w:bottom w:val="single" w:color="auto" w:sz="4" w:space="0"/>
              <w:right w:val="single" w:color="auto" w:sz="4" w:space="0"/>
              <w:tl2br w:val="nil"/>
              <w:tr2bl w:val="nil"/>
            </w:tcBorders>
            <w:noWrap w:val="0"/>
            <w:vAlign w:val="center"/>
          </w:tcPr>
          <w:p w14:paraId="545DED6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《广告法》第五十九条第一款第一项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有下列行为之一的，由市场监督管理部门责令停止发布广告，对广告主处十万元以下的罚款：（一）广告内容违反本法第八条规定的；</w:t>
            </w:r>
          </w:p>
        </w:tc>
      </w:tr>
      <w:tr w14:paraId="51C1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CE746">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single" w:color="auto" w:sz="4" w:space="0"/>
              <w:bottom w:val="single" w:color="auto" w:sz="4" w:space="0"/>
              <w:right w:val="single" w:color="auto" w:sz="4" w:space="0"/>
              <w:tl2br w:val="nil"/>
              <w:tr2bl w:val="nil"/>
            </w:tcBorders>
            <w:noWrap w:val="0"/>
            <w:vAlign w:val="center"/>
          </w:tcPr>
          <w:p w14:paraId="1550396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20</w:t>
            </w:r>
          </w:p>
        </w:tc>
        <w:tc>
          <w:tcPr>
            <w:tcW w:w="1712" w:type="dxa"/>
            <w:tcBorders>
              <w:top w:val="nil"/>
              <w:left w:val="nil"/>
              <w:bottom w:val="single" w:color="auto" w:sz="4" w:space="0"/>
              <w:right w:val="single" w:color="auto" w:sz="4" w:space="0"/>
              <w:tl2br w:val="nil"/>
              <w:tr2bl w:val="nil"/>
            </w:tcBorders>
            <w:noWrap w:val="0"/>
            <w:vAlign w:val="center"/>
          </w:tcPr>
          <w:p w14:paraId="1FB52D1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广告主发布广告使用“国家级”“最高级”“最佳”等用语</w:t>
            </w:r>
          </w:p>
        </w:tc>
        <w:tc>
          <w:tcPr>
            <w:tcW w:w="2421" w:type="dxa"/>
            <w:tcBorders>
              <w:top w:val="nil"/>
              <w:left w:val="nil"/>
              <w:bottom w:val="single" w:color="auto" w:sz="4" w:space="0"/>
              <w:right w:val="single" w:color="auto" w:sz="4" w:space="0"/>
              <w:tl2br w:val="nil"/>
              <w:tr2bl w:val="nil"/>
            </w:tcBorders>
            <w:noWrap w:val="0"/>
            <w:vAlign w:val="center"/>
          </w:tcPr>
          <w:p w14:paraId="6A8BE92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B093B6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在其经营场所、自设网站或者拥有合法使用权的其他媒介发布广告；</w:t>
            </w:r>
          </w:p>
          <w:p w14:paraId="0D829BB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持续时间较短，或浏览人数较少，或案涉商品、服务经营额较少；</w:t>
            </w:r>
          </w:p>
          <w:p w14:paraId="6A91510C">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p>
          <w:p w14:paraId="025F3CAC">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p w14:paraId="13EA274C">
            <w:pPr>
              <w:widowControl/>
              <w:spacing w:beforeLines="0" w:afterLines="0" w:line="280" w:lineRule="exact"/>
              <w:jc w:val="lef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61AEBC7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《广告法》第九条第三项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广告不得有下列情形：（三）使用“国家级”、“最高级”、“最佳”等用语；</w:t>
            </w:r>
          </w:p>
          <w:p w14:paraId="2F5D140E">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《江苏省广告条例》第十二条</w:t>
            </w:r>
            <w:r>
              <w:rPr>
                <w:rFonts w:hint="eastAsia" w:ascii="Times New Roman" w:hAnsi="Times New Roman" w:eastAsia="方正仿宋_GBK"/>
                <w:kern w:val="0"/>
                <w:sz w:val="21"/>
                <w:szCs w:val="24"/>
              </w:rPr>
              <w:t>　广告中不得使用“国家级”“最高级”“最佳”以及其他词义相同、类似的用语，直接或者间接地介绍所推销的商品或者服务。</w:t>
            </w:r>
          </w:p>
          <w:p w14:paraId="3201811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广告中使用下列用语的，不认定为违反前款规定：（一）表示时间、空间顺序的用语；（二）依据法律法规评定的奖项、称号；（三）特定行业、领域根据国家标准认定的分级用语；（四）表示广告主自我比较的分级用语；（五）表示广告主目标追求的用语；（六）客观表述并可以查证的销量、销售额、市场占有率等事实信息。</w:t>
            </w:r>
          </w:p>
        </w:tc>
        <w:tc>
          <w:tcPr>
            <w:tcW w:w="4766" w:type="dxa"/>
            <w:tcBorders>
              <w:top w:val="nil"/>
              <w:left w:val="nil"/>
              <w:bottom w:val="single" w:color="auto" w:sz="4" w:space="0"/>
              <w:right w:val="single" w:color="auto" w:sz="4" w:space="0"/>
              <w:tl2br w:val="nil"/>
              <w:tr2bl w:val="nil"/>
            </w:tcBorders>
            <w:noWrap w:val="0"/>
            <w:vAlign w:val="center"/>
          </w:tcPr>
          <w:p w14:paraId="1E86022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《广告法》第五十七条第一项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p w14:paraId="27F3CFE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《江苏省广告条例》第五十九条第一项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违法事实清楚，当场可以查实，且当事人及时改正，主动消除或者减轻危害后果的，依法从轻、减轻处罚；违法行为轻微并及时纠正，没有造成危害后果的，依法不予处罚：（一）广告主在其经营场所或者利用自有媒体发布自有商品或者服务广告使用"国家级""最高级""最佳"等用语的；</w:t>
            </w:r>
          </w:p>
        </w:tc>
      </w:tr>
      <w:tr w14:paraId="60D5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6A410923">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1CEE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21</w:t>
            </w:r>
          </w:p>
        </w:tc>
        <w:tc>
          <w:tcPr>
            <w:tcW w:w="1712" w:type="dxa"/>
            <w:tcBorders>
              <w:top w:val="nil"/>
              <w:left w:val="nil"/>
              <w:bottom w:val="single" w:color="auto" w:sz="4" w:space="0"/>
              <w:right w:val="single" w:color="auto" w:sz="4" w:space="0"/>
              <w:tl2br w:val="nil"/>
              <w:tr2bl w:val="nil"/>
            </w:tcBorders>
            <w:noWrap w:val="0"/>
            <w:vAlign w:val="center"/>
          </w:tcPr>
          <w:p w14:paraId="300D1AC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广告引证内容未表明出处</w:t>
            </w:r>
          </w:p>
        </w:tc>
        <w:tc>
          <w:tcPr>
            <w:tcW w:w="2421" w:type="dxa"/>
            <w:tcBorders>
              <w:top w:val="nil"/>
              <w:left w:val="nil"/>
              <w:bottom w:val="single" w:color="auto" w:sz="4" w:space="0"/>
              <w:right w:val="single" w:color="auto" w:sz="4" w:space="0"/>
              <w:tl2br w:val="nil"/>
              <w:tr2bl w:val="nil"/>
            </w:tcBorders>
            <w:noWrap w:val="0"/>
            <w:vAlign w:val="center"/>
          </w:tcPr>
          <w:p w14:paraId="46181DD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18769E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19B9421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引证内容真实、准确；</w:t>
            </w:r>
          </w:p>
          <w:p w14:paraId="52337745">
            <w:pPr>
              <w:spacing w:beforeLines="0" w:afterLines="0"/>
              <w:rPr>
                <w:rFonts w:hint="eastAsia" w:ascii="Times New Roman" w:hAnsi="Times New Roman" w:eastAsia="方正仿宋_GBK"/>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3E92F33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w:t>
            </w:r>
          </w:p>
        </w:tc>
        <w:tc>
          <w:tcPr>
            <w:tcW w:w="4771" w:type="dxa"/>
            <w:tcBorders>
              <w:top w:val="nil"/>
              <w:left w:val="nil"/>
              <w:bottom w:val="single" w:color="auto" w:sz="4" w:space="0"/>
              <w:right w:val="single" w:color="auto" w:sz="4" w:space="0"/>
              <w:tl2br w:val="nil"/>
              <w:tr2bl w:val="nil"/>
            </w:tcBorders>
            <w:noWrap w:val="0"/>
            <w:vAlign w:val="center"/>
          </w:tcPr>
          <w:p w14:paraId="480A1C2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《广告法》第十一条第二款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广告使用数据、统计资料、调查结果、文摘、引用语等引证内容的，应当真实、准确，并表明出处。引证内容有适用范围和有效期限的，应当明确表示。</w:t>
            </w:r>
          </w:p>
        </w:tc>
        <w:tc>
          <w:tcPr>
            <w:tcW w:w="4766" w:type="dxa"/>
            <w:tcBorders>
              <w:top w:val="nil"/>
              <w:left w:val="nil"/>
              <w:bottom w:val="single" w:color="auto" w:sz="4" w:space="0"/>
              <w:right w:val="single" w:color="auto" w:sz="4" w:space="0"/>
              <w:tl2br w:val="nil"/>
              <w:tr2bl w:val="nil"/>
            </w:tcBorders>
            <w:noWrap w:val="0"/>
            <w:vAlign w:val="center"/>
          </w:tcPr>
          <w:p w14:paraId="6FA5390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《广告法》第五十九条第一款第二项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有下列行为之一的，由市场监督管理部门责令停止发布广告，对广告主处十万元以下的罚款：（二）广告引证内容违反本法第十一条规定的；</w:t>
            </w:r>
          </w:p>
        </w:tc>
      </w:tr>
      <w:tr w14:paraId="5C1B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2A25C57D">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583278F0">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22</w:t>
            </w:r>
          </w:p>
        </w:tc>
        <w:tc>
          <w:tcPr>
            <w:tcW w:w="1712" w:type="dxa"/>
            <w:tcBorders>
              <w:top w:val="nil"/>
              <w:left w:val="nil"/>
              <w:bottom w:val="single" w:color="auto" w:sz="4" w:space="0"/>
              <w:right w:val="single" w:color="auto" w:sz="4" w:space="0"/>
              <w:tl2br w:val="nil"/>
              <w:tr2bl w:val="nil"/>
            </w:tcBorders>
            <w:noWrap w:val="0"/>
            <w:vAlign w:val="center"/>
          </w:tcPr>
          <w:p w14:paraId="29970F0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广告中涉及专利产品或者专利方法，未标明专利号或者专利种类</w:t>
            </w:r>
          </w:p>
        </w:tc>
        <w:tc>
          <w:tcPr>
            <w:tcW w:w="2421" w:type="dxa"/>
            <w:tcBorders>
              <w:top w:val="nil"/>
              <w:left w:val="nil"/>
              <w:bottom w:val="single" w:color="auto" w:sz="4" w:space="0"/>
              <w:right w:val="single" w:color="auto" w:sz="4" w:space="0"/>
              <w:tl2br w:val="nil"/>
              <w:tr2bl w:val="nil"/>
            </w:tcBorders>
            <w:noWrap w:val="0"/>
            <w:vAlign w:val="center"/>
          </w:tcPr>
          <w:p w14:paraId="0E082F7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74711F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1. </w:t>
            </w:r>
            <w:r>
              <w:rPr>
                <w:rFonts w:hint="eastAsia" w:ascii="Times New Roman" w:hAnsi="Times New Roman" w:eastAsia="方正仿宋_GBK"/>
                <w:kern w:val="0"/>
                <w:sz w:val="21"/>
                <w:szCs w:val="24"/>
              </w:rPr>
              <w:t>专利有效；</w:t>
            </w:r>
          </w:p>
          <w:p w14:paraId="4A729656">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 xml:space="preserve">2. </w:t>
            </w:r>
            <w:r>
              <w:rPr>
                <w:rFonts w:hint="eastAsia" w:ascii="Times New Roman" w:hAnsi="Times New Roman" w:eastAsia="方正仿宋_GBK"/>
                <w:kern w:val="0"/>
                <w:sz w:val="21"/>
                <w:szCs w:val="24"/>
              </w:rPr>
              <w:t>没有造成危害后果。3. 及时改正。</w:t>
            </w:r>
          </w:p>
          <w:p w14:paraId="767EC4F6">
            <w:pPr>
              <w:widowControl/>
              <w:spacing w:beforeLines="0" w:afterLines="0" w:line="280" w:lineRule="exact"/>
              <w:jc w:val="lef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32A7BFC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广告中涉及专利产品或者专利方法的，应当标明专利号和专利种类。</w:t>
            </w:r>
          </w:p>
          <w:p w14:paraId="72F375A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w:t>
            </w:r>
          </w:p>
        </w:tc>
        <w:tc>
          <w:tcPr>
            <w:tcW w:w="4766" w:type="dxa"/>
            <w:tcBorders>
              <w:top w:val="nil"/>
              <w:left w:val="nil"/>
              <w:bottom w:val="single" w:color="auto" w:sz="4" w:space="0"/>
              <w:right w:val="single" w:color="auto" w:sz="4" w:space="0"/>
              <w:tl2br w:val="nil"/>
              <w:tr2bl w:val="nil"/>
            </w:tcBorders>
            <w:noWrap w:val="0"/>
            <w:vAlign w:val="center"/>
          </w:tcPr>
          <w:p w14:paraId="46BBB78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《广告法》第五十九条第一款第三项 </w:t>
            </w:r>
            <w:r>
              <w:rPr>
                <w:rFonts w:hint="eastAsia" w:ascii="Times New Roman" w:hAnsi="Times New Roman" w:eastAsia="方正仿宋_GBK"/>
                <w:kern w:val="0"/>
                <w:sz w:val="21"/>
                <w:szCs w:val="24"/>
              </w:rPr>
              <w:t>有下列行为之一的，由市场监督管理部门责令停止发布广告，对广告主处十万元以下的罚款：（三）涉及专利的广告违反本法第十二条规定的；</w:t>
            </w:r>
          </w:p>
          <w:p w14:paraId="672DDF0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《江苏省广告条例》第五十九条第三项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违法事实清楚，当场可以查实，且当事人及时改正，主动消除或者减轻危害后果的，依法从轻、减轻处罚；违法行为轻微并及时纠正，没有造成危害后果的，依法不予处罚：（三）广告中涉及专利产品或者专利方法，未标明专利号或者专利种类，但专利是有效的。</w:t>
            </w:r>
          </w:p>
        </w:tc>
      </w:tr>
      <w:tr w14:paraId="35F4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7DD10BD8">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4E3B49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23</w:t>
            </w:r>
          </w:p>
        </w:tc>
        <w:tc>
          <w:tcPr>
            <w:tcW w:w="1712" w:type="dxa"/>
            <w:tcBorders>
              <w:top w:val="nil"/>
              <w:left w:val="nil"/>
              <w:bottom w:val="single" w:color="auto" w:sz="4" w:space="0"/>
              <w:right w:val="single" w:color="auto" w:sz="4" w:space="0"/>
              <w:tl2br w:val="nil"/>
              <w:tr2bl w:val="nil"/>
            </w:tcBorders>
            <w:noWrap w:val="0"/>
            <w:vAlign w:val="center"/>
          </w:tcPr>
          <w:p w14:paraId="74C82E0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广告中使用已经终止的专利</w:t>
            </w:r>
          </w:p>
        </w:tc>
        <w:tc>
          <w:tcPr>
            <w:tcW w:w="2421" w:type="dxa"/>
            <w:tcBorders>
              <w:top w:val="nil"/>
              <w:left w:val="nil"/>
              <w:bottom w:val="single" w:color="auto" w:sz="4" w:space="0"/>
              <w:right w:val="single" w:color="auto" w:sz="4" w:space="0"/>
              <w:tl2br w:val="nil"/>
              <w:tr2bl w:val="nil"/>
            </w:tcBorders>
            <w:noWrap w:val="0"/>
            <w:vAlign w:val="center"/>
          </w:tcPr>
          <w:p w14:paraId="0BC76262">
            <w:pPr>
              <w:keepNext w:val="0"/>
              <w:keepLines w:val="0"/>
              <w:pageBreakBefore w:val="0"/>
              <w:widowControl/>
              <w:kinsoku/>
              <w:wordWrap/>
              <w:overflowPunct/>
              <w:topLinePunct w:val="0"/>
              <w:autoSpaceDE/>
              <w:autoSpaceDN/>
              <w:bidi w:val="0"/>
              <w:adjustRightInd w:val="0"/>
              <w:snapToGrid w:val="0"/>
              <w:spacing w:beforeLines="0" w:afterLines="0" w:line="26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广告仅在其经营场所、自设网站或者拥有合法使用权的其他媒介发布，或广告浏览人数较少；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专利终止时间较短；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p>
          <w:p w14:paraId="2B4B744B">
            <w:pPr>
              <w:keepNext w:val="0"/>
              <w:keepLines w:val="0"/>
              <w:pageBreakBefore w:val="0"/>
              <w:widowControl/>
              <w:kinsoku/>
              <w:wordWrap/>
              <w:overflowPunct/>
              <w:topLinePunct w:val="0"/>
              <w:autoSpaceDE/>
              <w:autoSpaceDN/>
              <w:bidi w:val="0"/>
              <w:adjustRightInd w:val="0"/>
              <w:snapToGrid w:val="0"/>
              <w:spacing w:beforeLines="0" w:afterLines="0" w:line="26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599DA5A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《广告法》第十二条第三款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禁止使用未授予专利权的专利申请和已经终止、撤销、无效的专利作广告。          </w:t>
            </w:r>
          </w:p>
        </w:tc>
        <w:tc>
          <w:tcPr>
            <w:tcW w:w="4766" w:type="dxa"/>
            <w:tcBorders>
              <w:top w:val="nil"/>
              <w:left w:val="nil"/>
              <w:bottom w:val="single" w:color="auto" w:sz="4" w:space="0"/>
              <w:right w:val="single" w:color="auto" w:sz="4" w:space="0"/>
              <w:tl2br w:val="nil"/>
              <w:tr2bl w:val="nil"/>
            </w:tcBorders>
            <w:noWrap w:val="0"/>
            <w:vAlign w:val="center"/>
          </w:tcPr>
          <w:p w14:paraId="1F00DC3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《广告法》第五十九条第一款第三项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有下列行为之一的，由市场监督管理部门责令停止发布广告，对广告主处十万元以下的罚款：（三）涉及专利的广告违反本法第十二条规定的；</w:t>
            </w:r>
          </w:p>
        </w:tc>
      </w:tr>
      <w:tr w14:paraId="5F16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5412FBE">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1FACB02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24</w:t>
            </w:r>
          </w:p>
        </w:tc>
        <w:tc>
          <w:tcPr>
            <w:tcW w:w="1712" w:type="dxa"/>
            <w:tcBorders>
              <w:top w:val="nil"/>
              <w:left w:val="nil"/>
              <w:bottom w:val="single" w:color="auto" w:sz="4" w:space="0"/>
              <w:right w:val="single" w:color="auto" w:sz="4" w:space="0"/>
              <w:tl2br w:val="nil"/>
              <w:tr2bl w:val="nil"/>
            </w:tcBorders>
            <w:noWrap w:val="0"/>
            <w:vAlign w:val="center"/>
          </w:tcPr>
          <w:p w14:paraId="45E6E44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通过大众传媒发布的广告未显著标明“广告”字样</w:t>
            </w:r>
          </w:p>
        </w:tc>
        <w:tc>
          <w:tcPr>
            <w:tcW w:w="2421" w:type="dxa"/>
            <w:tcBorders>
              <w:top w:val="nil"/>
              <w:left w:val="nil"/>
              <w:bottom w:val="single" w:color="auto" w:sz="4" w:space="0"/>
              <w:right w:val="single" w:color="auto" w:sz="4" w:space="0"/>
              <w:tl2br w:val="nil"/>
              <w:tr2bl w:val="nil"/>
            </w:tcBorders>
            <w:noWrap w:val="0"/>
            <w:vAlign w:val="center"/>
          </w:tcPr>
          <w:p w14:paraId="6D1D9A6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6BC571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首次通过大众传播媒介发布；    </w:t>
            </w:r>
          </w:p>
          <w:p w14:paraId="4C9E6D6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能够使消费者辨明其为广告；     </w:t>
            </w:r>
          </w:p>
          <w:p w14:paraId="711292D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及时改正。                            </w:t>
            </w:r>
          </w:p>
        </w:tc>
        <w:tc>
          <w:tcPr>
            <w:tcW w:w="4771" w:type="dxa"/>
            <w:tcBorders>
              <w:top w:val="nil"/>
              <w:left w:val="nil"/>
              <w:bottom w:val="single" w:color="auto" w:sz="4" w:space="0"/>
              <w:right w:val="single" w:color="auto" w:sz="4" w:space="0"/>
              <w:tl2br w:val="nil"/>
              <w:tr2bl w:val="nil"/>
            </w:tcBorders>
            <w:noWrap w:val="0"/>
            <w:vAlign w:val="center"/>
          </w:tcPr>
          <w:p w14:paraId="741C46F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广告应当具有可识别性，能够使消费者辨明其为广告。</w:t>
            </w:r>
          </w:p>
          <w:p w14:paraId="3E1F8C35">
            <w:pPr>
              <w:widowControl/>
              <w:spacing w:beforeLines="0" w:afterLines="0" w:line="280" w:lineRule="exact"/>
              <w:ind w:firstLine="420"/>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大众传播媒介不得以新闻报道形式变相发布广告。通过大众传播媒介发布的广告应当显著标明“广告”，与其他非广告信息相区别，不得使消费者产生误解。</w:t>
            </w:r>
          </w:p>
          <w:p w14:paraId="68C80330">
            <w:pPr>
              <w:widowControl/>
              <w:spacing w:beforeLines="0" w:afterLines="0" w:line="280" w:lineRule="exact"/>
              <w:ind w:firstLine="420"/>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广播电台、电视台发布广告，应当遵守国务院有关部门关于时长、方式的规定，并应当对广告时长作出明显提示。</w:t>
            </w:r>
          </w:p>
        </w:tc>
        <w:tc>
          <w:tcPr>
            <w:tcW w:w="4766" w:type="dxa"/>
            <w:tcBorders>
              <w:top w:val="nil"/>
              <w:left w:val="nil"/>
              <w:bottom w:val="single" w:color="auto" w:sz="4" w:space="0"/>
              <w:right w:val="single" w:color="auto" w:sz="4" w:space="0"/>
              <w:tl2br w:val="nil"/>
              <w:tr2bl w:val="nil"/>
            </w:tcBorders>
            <w:noWrap w:val="0"/>
            <w:vAlign w:val="center"/>
          </w:tcPr>
          <w:p w14:paraId="2D7FDDC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《广告法》第五十九条第三款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广告违反本法第十四条规定，不具有可识别性的，或者违反本法第十九条规定，变相发布医疗、药品、医疗器械、保健食品广告的，由市场监督管理部门责令改正，对广告发布者处十万元以下的罚款。</w:t>
            </w:r>
          </w:p>
          <w:p w14:paraId="78CAF86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《江苏省广告条例》第五十九条第二项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违法事实清楚，当场可以查实，且当事人及时改正，主动消除或者减轻危害后果的，依法从轻、减轻处罚；违法行为轻微并及时纠正，没有造成危害后果的，依法不予处罚：（二）通过大众传播媒介首次发布的广告未显著标明“广告”字样，但能够使消费者辨明其为广告的。</w:t>
            </w:r>
          </w:p>
        </w:tc>
      </w:tr>
      <w:tr w14:paraId="34A9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2DEC23">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6707450">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25</w:t>
            </w:r>
          </w:p>
        </w:tc>
        <w:tc>
          <w:tcPr>
            <w:tcW w:w="1712" w:type="dxa"/>
            <w:tcBorders>
              <w:top w:val="nil"/>
              <w:left w:val="nil"/>
              <w:bottom w:val="single" w:color="auto" w:sz="4" w:space="0"/>
              <w:right w:val="single" w:color="auto" w:sz="4" w:space="0"/>
              <w:tl2br w:val="nil"/>
              <w:tr2bl w:val="nil"/>
            </w:tcBorders>
            <w:noWrap w:val="0"/>
            <w:vAlign w:val="center"/>
          </w:tcPr>
          <w:p w14:paraId="59C3131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发布出现饮酒的动作的酒类广告</w:t>
            </w:r>
          </w:p>
        </w:tc>
        <w:tc>
          <w:tcPr>
            <w:tcW w:w="2421" w:type="dxa"/>
            <w:tcBorders>
              <w:top w:val="nil"/>
              <w:left w:val="nil"/>
              <w:bottom w:val="single" w:color="auto" w:sz="4" w:space="0"/>
              <w:right w:val="single" w:color="auto" w:sz="4" w:space="0"/>
              <w:tl2br w:val="nil"/>
              <w:tr2bl w:val="nil"/>
            </w:tcBorders>
            <w:noWrap w:val="0"/>
            <w:vAlign w:val="center"/>
          </w:tcPr>
          <w:p w14:paraId="130285E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65ED5C84">
            <w:pPr>
              <w:widowControl/>
              <w:spacing w:beforeLines="0" w:afterLines="0" w:line="30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案涉广告仅在广告主自有经营场所发布；</w:t>
            </w:r>
          </w:p>
          <w:p w14:paraId="675C98D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持续时间较短，或浏览人数较少；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及时改正。   </w:t>
            </w:r>
          </w:p>
        </w:tc>
        <w:tc>
          <w:tcPr>
            <w:tcW w:w="4771" w:type="dxa"/>
            <w:tcBorders>
              <w:top w:val="nil"/>
              <w:left w:val="nil"/>
              <w:bottom w:val="single" w:color="auto" w:sz="4" w:space="0"/>
              <w:right w:val="single" w:color="auto" w:sz="4" w:space="0"/>
              <w:tl2br w:val="nil"/>
              <w:tr2bl w:val="nil"/>
            </w:tcBorders>
            <w:noWrap w:val="0"/>
            <w:vAlign w:val="center"/>
          </w:tcPr>
          <w:p w14:paraId="217E350D">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《广告法》第二十三条第二项  </w:t>
            </w:r>
            <w:r>
              <w:rPr>
                <w:rFonts w:hint="eastAsia" w:ascii="Times New Roman" w:hAnsi="Times New Roman" w:eastAsia="方正仿宋_GBK"/>
                <w:kern w:val="0"/>
                <w:sz w:val="21"/>
                <w:szCs w:val="24"/>
              </w:rPr>
              <w:t>酒类广告不得含有下列内容：（二）出现饮酒的动作；</w:t>
            </w:r>
          </w:p>
        </w:tc>
        <w:tc>
          <w:tcPr>
            <w:tcW w:w="4766" w:type="dxa"/>
            <w:tcBorders>
              <w:top w:val="nil"/>
              <w:left w:val="nil"/>
              <w:bottom w:val="single" w:color="auto" w:sz="4" w:space="0"/>
              <w:right w:val="single" w:color="auto" w:sz="4" w:space="0"/>
              <w:tl2br w:val="nil"/>
              <w:tr2bl w:val="nil"/>
            </w:tcBorders>
            <w:noWrap w:val="0"/>
            <w:vAlign w:val="center"/>
          </w:tcPr>
          <w:p w14:paraId="6F357E44">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《广告法》第五十八条第一款第五项  </w:t>
            </w:r>
            <w:r>
              <w:rPr>
                <w:rFonts w:hint="eastAsia" w:ascii="Times New Roman" w:hAnsi="Times New Roman" w:eastAsia="方正仿宋_GBK"/>
                <w:kern w:val="0"/>
                <w:sz w:val="21"/>
                <w:szCs w:val="24"/>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tc>
      </w:tr>
      <w:tr w14:paraId="7E9E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5205E0">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20AE2792">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26</w:t>
            </w:r>
          </w:p>
        </w:tc>
        <w:tc>
          <w:tcPr>
            <w:tcW w:w="1712" w:type="dxa"/>
            <w:tcBorders>
              <w:top w:val="nil"/>
              <w:left w:val="nil"/>
              <w:bottom w:val="single" w:color="auto" w:sz="4" w:space="0"/>
              <w:right w:val="single" w:color="auto" w:sz="4" w:space="0"/>
              <w:tl2br w:val="nil"/>
              <w:tr2bl w:val="nil"/>
            </w:tcBorders>
            <w:noWrap w:val="0"/>
            <w:vAlign w:val="center"/>
          </w:tcPr>
          <w:p w14:paraId="6EDCF1E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发布以项目到达某一具体参照物的所需时间表示项目位置的房地产广告</w:t>
            </w:r>
          </w:p>
        </w:tc>
        <w:tc>
          <w:tcPr>
            <w:tcW w:w="2421" w:type="dxa"/>
            <w:tcBorders>
              <w:top w:val="nil"/>
              <w:left w:val="nil"/>
              <w:bottom w:val="single" w:color="auto" w:sz="4" w:space="0"/>
              <w:right w:val="single" w:color="auto" w:sz="4" w:space="0"/>
              <w:tl2br w:val="nil"/>
              <w:tr2bl w:val="nil"/>
            </w:tcBorders>
            <w:noWrap w:val="0"/>
            <w:vAlign w:val="center"/>
          </w:tcPr>
          <w:p w14:paraId="6584C19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违法行为持续时间较短，或浏览人数较少；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对消费者的欺骗、误导作用较小；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r>
              <w:rPr>
                <w:rFonts w:hint="default" w:ascii="Times New Roman" w:hAnsi="Times New Roman" w:eastAsia="方正仿宋_GBK"/>
                <w:kern w:val="0"/>
                <w:sz w:val="21"/>
                <w:szCs w:val="24"/>
              </w:rPr>
              <w:br w:type="textWrapping"/>
            </w:r>
          </w:p>
        </w:tc>
        <w:tc>
          <w:tcPr>
            <w:tcW w:w="4771" w:type="dxa"/>
            <w:tcBorders>
              <w:top w:val="nil"/>
              <w:left w:val="nil"/>
              <w:bottom w:val="single" w:color="auto" w:sz="4" w:space="0"/>
              <w:right w:val="single" w:color="auto" w:sz="4" w:space="0"/>
              <w:tl2br w:val="nil"/>
              <w:tr2bl w:val="nil"/>
            </w:tcBorders>
            <w:noWrap w:val="0"/>
            <w:vAlign w:val="center"/>
          </w:tcPr>
          <w:p w14:paraId="7BC7F7B3">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《广告法》第二十六条第二项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房地产广告，房源信息应当真实，面积应当表明为建筑面积或者套内建筑面积，并不得含有下列内容：</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（二）以项目到达某一具体参照物的所需时间表示项目位置；</w:t>
            </w:r>
            <w:bookmarkStart w:id="3" w:name="_GoBack"/>
            <w:bookmarkEnd w:id="3"/>
          </w:p>
        </w:tc>
        <w:tc>
          <w:tcPr>
            <w:tcW w:w="4766" w:type="dxa"/>
            <w:tcBorders>
              <w:top w:val="nil"/>
              <w:left w:val="nil"/>
              <w:bottom w:val="single" w:color="auto" w:sz="4" w:space="0"/>
              <w:right w:val="single" w:color="auto" w:sz="4" w:space="0"/>
              <w:tl2br w:val="nil"/>
              <w:tr2bl w:val="nil"/>
            </w:tcBorders>
            <w:noWrap w:val="0"/>
            <w:vAlign w:val="center"/>
          </w:tcPr>
          <w:p w14:paraId="693DD6FE">
            <w:pPr>
              <w:widowControl/>
              <w:spacing w:beforeLines="0" w:afterLines="0" w:line="280" w:lineRule="exact"/>
              <w:jc w:val="left"/>
              <w:rPr>
                <w:rFonts w:hint="eastAsia"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《广告法》第五十八条第一款第八项 </w:t>
            </w:r>
            <w:r>
              <w:rPr>
                <w:rFonts w:hint="eastAsia" w:ascii="Times New Roman" w:hAnsi="Times New Roman" w:eastAsia="方正仿宋_GBK"/>
                <w:kern w:val="0"/>
                <w:sz w:val="21"/>
                <w:szCs w:val="24"/>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tc>
      </w:tr>
      <w:tr w14:paraId="59B2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7" w:type="dxa"/>
            <w:vMerge w:val="continue"/>
            <w:tcBorders>
              <w:top w:val="single" w:color="auto" w:sz="4" w:space="0"/>
              <w:left w:val="single" w:color="auto" w:sz="4" w:space="0"/>
              <w:bottom w:val="nil"/>
              <w:right w:val="single" w:color="auto" w:sz="4" w:space="0"/>
              <w:tl2br w:val="nil"/>
              <w:tr2bl w:val="nil"/>
            </w:tcBorders>
            <w:noWrap w:val="0"/>
            <w:vAlign w:val="center"/>
          </w:tcPr>
          <w:p w14:paraId="122E9AA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E06B6A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27</w:t>
            </w:r>
          </w:p>
        </w:tc>
        <w:tc>
          <w:tcPr>
            <w:tcW w:w="1712" w:type="dxa"/>
            <w:tcBorders>
              <w:top w:val="nil"/>
              <w:left w:val="nil"/>
              <w:bottom w:val="single" w:color="auto" w:sz="4" w:space="0"/>
              <w:right w:val="single" w:color="auto" w:sz="4" w:space="0"/>
              <w:tl2br w:val="nil"/>
              <w:tr2bl w:val="nil"/>
            </w:tcBorders>
            <w:noWrap w:val="0"/>
            <w:vAlign w:val="center"/>
          </w:tcPr>
          <w:p w14:paraId="04C4B22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广告经营者、广告发布者未按照国家有关规定建立、健全广告业务管理制度</w:t>
            </w:r>
          </w:p>
        </w:tc>
        <w:tc>
          <w:tcPr>
            <w:tcW w:w="2421" w:type="dxa"/>
            <w:tcBorders>
              <w:top w:val="nil"/>
              <w:left w:val="nil"/>
              <w:bottom w:val="single" w:color="auto" w:sz="4" w:space="0"/>
              <w:right w:val="single" w:color="auto" w:sz="4" w:space="0"/>
              <w:tl2br w:val="nil"/>
              <w:tr2bl w:val="nil"/>
            </w:tcBorders>
            <w:noWrap w:val="0"/>
            <w:vAlign w:val="center"/>
          </w:tcPr>
          <w:p w14:paraId="3789B6E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02EC500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《广告法》第三十四条第一款</w:t>
            </w:r>
            <w:r>
              <w:rPr>
                <w:rFonts w:hint="eastAsia" w:ascii="Times New Roman" w:hAnsi="Times New Roman" w:eastAsia="方正仿宋_GBK"/>
                <w:kern w:val="0"/>
                <w:sz w:val="21"/>
                <w:szCs w:val="24"/>
              </w:rPr>
              <w:t>　广告经营者、广告发布者应当按照国家有关规定，建立、健全广告业务的承接登记、审核、档案管理制度。</w:t>
            </w:r>
          </w:p>
        </w:tc>
        <w:tc>
          <w:tcPr>
            <w:tcW w:w="4766" w:type="dxa"/>
            <w:tcBorders>
              <w:top w:val="nil"/>
              <w:left w:val="nil"/>
              <w:bottom w:val="single" w:color="auto" w:sz="4" w:space="0"/>
              <w:right w:val="single" w:color="auto" w:sz="4" w:space="0"/>
              <w:tl2br w:val="nil"/>
              <w:tr2bl w:val="nil"/>
            </w:tcBorders>
            <w:noWrap w:val="0"/>
            <w:vAlign w:val="center"/>
          </w:tcPr>
          <w:p w14:paraId="3871219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《广告法》第六十条第一款</w:t>
            </w:r>
            <w:r>
              <w:rPr>
                <w:rFonts w:hint="eastAsia" w:ascii="Times New Roman" w:hAnsi="Times New Roman" w:eastAsia="方正仿宋_GBK"/>
                <w:kern w:val="0"/>
                <w:sz w:val="21"/>
                <w:szCs w:val="24"/>
              </w:rPr>
              <w:t>　违反本法第三十四条规定，广告经营者、广告发布者未按照国家有关规定建立、健全广告业务管理制度的，由市场监督管理部门责令改正，可以处五万元以下的罚款。</w:t>
            </w:r>
          </w:p>
        </w:tc>
      </w:tr>
      <w:tr w14:paraId="4112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7" w:type="dxa"/>
            <w:vMerge w:val="restart"/>
            <w:tcBorders>
              <w:top w:val="nil"/>
              <w:left w:val="single" w:color="auto" w:sz="4" w:space="0"/>
              <w:bottom w:val="single" w:color="auto" w:sz="4" w:space="0"/>
              <w:right w:val="single" w:color="auto" w:sz="4" w:space="0"/>
              <w:tl2br w:val="nil"/>
              <w:tr2bl w:val="nil"/>
            </w:tcBorders>
            <w:noWrap w:val="0"/>
            <w:vAlign w:val="center"/>
          </w:tcPr>
          <w:p w14:paraId="2AD318D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141BBFB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28</w:t>
            </w:r>
          </w:p>
        </w:tc>
        <w:tc>
          <w:tcPr>
            <w:tcW w:w="1712" w:type="dxa"/>
            <w:tcBorders>
              <w:top w:val="nil"/>
              <w:left w:val="nil"/>
              <w:bottom w:val="single" w:color="auto" w:sz="4" w:space="0"/>
              <w:right w:val="single" w:color="auto" w:sz="4" w:space="0"/>
              <w:tl2br w:val="nil"/>
              <w:tr2bl w:val="nil"/>
            </w:tcBorders>
            <w:noWrap w:val="0"/>
            <w:vAlign w:val="center"/>
          </w:tcPr>
          <w:p w14:paraId="40FFB4A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利用互联网发布广告，未显著标明关闭标志，确保一键关闭</w:t>
            </w:r>
          </w:p>
        </w:tc>
        <w:tc>
          <w:tcPr>
            <w:tcW w:w="2421" w:type="dxa"/>
            <w:tcBorders>
              <w:top w:val="nil"/>
              <w:left w:val="nil"/>
              <w:bottom w:val="single" w:color="auto" w:sz="4" w:space="0"/>
              <w:right w:val="single" w:color="auto" w:sz="4" w:space="0"/>
              <w:tl2br w:val="nil"/>
              <w:tr2bl w:val="nil"/>
            </w:tcBorders>
            <w:noWrap w:val="0"/>
            <w:vAlign w:val="center"/>
          </w:tcPr>
          <w:p w14:paraId="7D08ACF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关闭标志虽不够显著，但能够实现一键关闭；</w:t>
            </w:r>
          </w:p>
          <w:p w14:paraId="27C304A5">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不存在其他影响用户关闭的情形；</w:t>
            </w:r>
          </w:p>
          <w:p w14:paraId="7F77E29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691EDD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《广告法》第四十四条第二款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利用互联网发布、发送广告，不得影响用户正常使用网络。在互联网页面以弹出等形式发布的广告，应当显著标明关闭标志，确保一键关闭。</w:t>
            </w:r>
          </w:p>
        </w:tc>
        <w:tc>
          <w:tcPr>
            <w:tcW w:w="4766" w:type="dxa"/>
            <w:tcBorders>
              <w:top w:val="nil"/>
              <w:left w:val="nil"/>
              <w:bottom w:val="single" w:color="auto" w:sz="4" w:space="0"/>
              <w:right w:val="single" w:color="auto" w:sz="4" w:space="0"/>
              <w:tl2br w:val="nil"/>
              <w:tr2bl w:val="nil"/>
            </w:tcBorders>
            <w:noWrap w:val="0"/>
            <w:vAlign w:val="center"/>
          </w:tcPr>
          <w:p w14:paraId="2A5AD2F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《广告法》第六十二条第二款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违反本法第四十四条第二款规定，利用互联网发布广告，未显著标明关闭标志，确保一键关闭的，由市场监督管理部门责令改正，对广告主处五千元以上三万元以下的罚款。</w:t>
            </w:r>
          </w:p>
        </w:tc>
      </w:tr>
      <w:tr w14:paraId="3DD5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8F1F5D">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77C7D72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29</w:t>
            </w:r>
          </w:p>
        </w:tc>
        <w:tc>
          <w:tcPr>
            <w:tcW w:w="1712" w:type="dxa"/>
            <w:tcBorders>
              <w:top w:val="nil"/>
              <w:left w:val="nil"/>
              <w:bottom w:val="single" w:color="auto" w:sz="4" w:space="0"/>
              <w:right w:val="single" w:color="auto" w:sz="4" w:space="0"/>
              <w:tl2br w:val="nil"/>
              <w:tr2bl w:val="nil"/>
            </w:tcBorders>
            <w:noWrap w:val="0"/>
            <w:vAlign w:val="center"/>
          </w:tcPr>
          <w:p w14:paraId="074167F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广告使用的语言文字、数字、标点符号和计量单位等不符合国家有关规范、标准和规定</w:t>
            </w:r>
          </w:p>
        </w:tc>
        <w:tc>
          <w:tcPr>
            <w:tcW w:w="2421" w:type="dxa"/>
            <w:tcBorders>
              <w:top w:val="nil"/>
              <w:left w:val="nil"/>
              <w:bottom w:val="single" w:color="auto" w:sz="4" w:space="0"/>
              <w:right w:val="single" w:color="auto" w:sz="4" w:space="0"/>
              <w:tl2br w:val="nil"/>
              <w:tr2bl w:val="nil"/>
            </w:tcBorders>
            <w:noWrap w:val="0"/>
            <w:vAlign w:val="center"/>
          </w:tcPr>
          <w:p w14:paraId="10BEA9A4">
            <w:pPr>
              <w:widowControl/>
              <w:spacing w:beforeLines="0" w:afterLines="0" w:line="300" w:lineRule="exact"/>
              <w:rPr>
                <w:rFonts w:hint="default" w:ascii="Times New Roman" w:hAnsi="Times New Roman" w:eastAsia="方正仿宋_GBK"/>
                <w:kern w:val="0"/>
                <w:sz w:val="24"/>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不会对消费者产生误导；</w:t>
            </w:r>
          </w:p>
          <w:p w14:paraId="501C5BF8">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未造成不良影响；</w:t>
            </w:r>
            <w:r>
              <w:rPr>
                <w:rFonts w:hint="default" w:ascii="Times New Roman" w:hAnsi="Times New Roman" w:eastAsia="方正仿宋_GBK"/>
                <w:kern w:val="0"/>
                <w:sz w:val="21"/>
                <w:szCs w:val="24"/>
              </w:rPr>
              <w:t xml:space="preserve">                   2.</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27D34040">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《江苏省广告条例》第八条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广告使用的语言文字应当清晰、准确，符合国家通用语言文字的规范和标准。</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广告中使用的数字、标点符号和计量单位等，应当符合国家标准和有关规定。</w:t>
            </w:r>
          </w:p>
        </w:tc>
        <w:tc>
          <w:tcPr>
            <w:tcW w:w="4766" w:type="dxa"/>
            <w:tcBorders>
              <w:top w:val="nil"/>
              <w:left w:val="nil"/>
              <w:bottom w:val="single" w:color="auto" w:sz="4" w:space="0"/>
              <w:right w:val="single" w:color="auto" w:sz="4" w:space="0"/>
              <w:tl2br w:val="nil"/>
              <w:tr2bl w:val="nil"/>
            </w:tcBorders>
            <w:noWrap w:val="0"/>
            <w:vAlign w:val="center"/>
          </w:tcPr>
          <w:p w14:paraId="42DC8127">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《江苏省广告条例》第五十三条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违反本条例第八条规定，广告使用的语言文字、数字、标点符号和计量单位等不符合国家有关规范、标准和规定的，由市场监督管理部门责令广告发布者限期改正，给予警告。</w:t>
            </w:r>
          </w:p>
        </w:tc>
      </w:tr>
      <w:tr w14:paraId="74B5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98410B">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865646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30</w:t>
            </w:r>
          </w:p>
        </w:tc>
        <w:tc>
          <w:tcPr>
            <w:tcW w:w="1712" w:type="dxa"/>
            <w:tcBorders>
              <w:top w:val="nil"/>
              <w:left w:val="nil"/>
              <w:bottom w:val="single" w:color="auto" w:sz="4" w:space="0"/>
              <w:right w:val="single" w:color="auto" w:sz="4" w:space="0"/>
              <w:tl2br w:val="nil"/>
              <w:tr2bl w:val="nil"/>
            </w:tcBorders>
            <w:noWrap w:val="0"/>
            <w:vAlign w:val="center"/>
          </w:tcPr>
          <w:p w14:paraId="2CC0414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发布医疗、药品、医疗器械、农药、兽药和保健食品以及其他依法需要审查的广告，未标注已取得的审查批准文号</w:t>
            </w:r>
          </w:p>
        </w:tc>
        <w:tc>
          <w:tcPr>
            <w:tcW w:w="2421" w:type="dxa"/>
            <w:tcBorders>
              <w:top w:val="nil"/>
              <w:left w:val="nil"/>
              <w:bottom w:val="single" w:color="auto" w:sz="4" w:space="0"/>
              <w:right w:val="single" w:color="auto" w:sz="4" w:space="0"/>
              <w:tl2br w:val="nil"/>
              <w:tr2bl w:val="nil"/>
            </w:tcBorders>
            <w:noWrap w:val="0"/>
            <w:vAlign w:val="center"/>
          </w:tcPr>
          <w:p w14:paraId="724F4E7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0AA887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已取得审查批准文号且在有效期内；</w:t>
            </w:r>
          </w:p>
          <w:p w14:paraId="75A609F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广告发布内容与原审查批准内容一致；          </w:t>
            </w:r>
          </w:p>
          <w:p w14:paraId="39F45E3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0A934F8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369DEC3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《广告法》第四十六条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发布医疗、药品、医疗器械、农药、兽药和保健食品广告，以及法律、行政法规规定应当进行审查的其他广告，应当在发布前由有关部门（以下称广告审查机关）对广告内容进行审查；未经审查，不得发布。</w:t>
            </w:r>
          </w:p>
          <w:p w14:paraId="3C49FCD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《药品、医疗器械、保健食品、特殊医学用途配方食品广告审查管理暂行办法》第九条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药品、医疗器械、保健食品和特殊医学用途配方食品广告应当显著标明广告批准文号。</w:t>
            </w:r>
          </w:p>
          <w:p w14:paraId="3DDE9B4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第十条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药品、医疗器械、保健食品和特殊医学用途配方食品广告中应当显著标明的内容，其字体和颜色必须清晰可见、易于辨认，在视频广告中应当持续显示。</w:t>
            </w:r>
          </w:p>
          <w:p w14:paraId="3AFFB11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《江苏省广告条例》第九条第四款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药品、医疗、医疗器械、保健食品、特殊医学用途配方食品、农药、兽药以及其他依法需要由有关部门（以下称广告审查机关）审查的广告，应当明示广告审查批准文号。</w:t>
            </w:r>
          </w:p>
        </w:tc>
        <w:tc>
          <w:tcPr>
            <w:tcW w:w="4766" w:type="dxa"/>
            <w:tcBorders>
              <w:top w:val="nil"/>
              <w:left w:val="nil"/>
              <w:bottom w:val="single" w:color="auto" w:sz="4" w:space="0"/>
              <w:right w:val="single" w:color="auto" w:sz="4" w:space="0"/>
              <w:tl2br w:val="nil"/>
              <w:tr2bl w:val="nil"/>
            </w:tcBorders>
            <w:noWrap w:val="0"/>
            <w:vAlign w:val="center"/>
          </w:tcPr>
          <w:p w14:paraId="1C2EF98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《药品、医疗器械、保健食品、特殊医学用途配方食品广告审查管理暂行办法》第二十五条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违反本办法第十条规定，未显著、清晰表示广告中应当显著标明内容的，按照《中华人民共和国广告法》第五十九条处罚。</w:t>
            </w:r>
          </w:p>
          <w:p w14:paraId="3E51525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有下列行为之一的，由市场监督管理部门责令停止发布广告，对广告主处十万元以下的罚款：……</w:t>
            </w:r>
          </w:p>
          <w:p w14:paraId="37FE76B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《江苏省广告条例》第五十四条第一款</w:t>
            </w:r>
            <w:r>
              <w:rPr>
                <w:rFonts w:hint="eastAsia" w:ascii="Times New Roman" w:hAnsi="Times New Roman" w:eastAsia="方正仿宋_GBK"/>
                <w:kern w:val="0"/>
                <w:sz w:val="21"/>
                <w:szCs w:val="24"/>
              </w:rPr>
              <w:t>　违反本条例第九条第二款至第五款规定，发布广告未明示有关内容的，由市场监督管理部门责令停止发布，对广告主处以一万元以上十万元以下的罚款。</w:t>
            </w:r>
          </w:p>
          <w:p w14:paraId="2791EEC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第五十九条第四项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违法事实清楚，当场可以查实，且当事人及时改正，主动消除或者减轻危害后果的，依法从轻、减轻处罚；违法行为轻微并及时纠正，没有造成危害后果的，依法不予处罚：（四）已取得药品、医疗、医疗器械、保健食品、特殊医学用途配方食品、农药、兽药以及其他依法需要审查的广告的审查批准文号，但未标注的。</w:t>
            </w:r>
          </w:p>
        </w:tc>
      </w:tr>
      <w:tr w14:paraId="56E5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1AB55B">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73D7C4C2">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31</w:t>
            </w:r>
          </w:p>
        </w:tc>
        <w:tc>
          <w:tcPr>
            <w:tcW w:w="1712" w:type="dxa"/>
            <w:tcBorders>
              <w:top w:val="nil"/>
              <w:left w:val="nil"/>
              <w:bottom w:val="single" w:color="auto" w:sz="4" w:space="0"/>
              <w:right w:val="single" w:color="auto" w:sz="4" w:space="0"/>
              <w:tl2br w:val="nil"/>
              <w:tr2bl w:val="nil"/>
            </w:tcBorders>
            <w:noWrap w:val="0"/>
            <w:vAlign w:val="center"/>
          </w:tcPr>
          <w:p w14:paraId="60561EE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发布涉及优惠措施的广告，未明示优惠的范围、期限和内容</w:t>
            </w:r>
          </w:p>
        </w:tc>
        <w:tc>
          <w:tcPr>
            <w:tcW w:w="2421" w:type="dxa"/>
            <w:tcBorders>
              <w:top w:val="nil"/>
              <w:left w:val="nil"/>
              <w:bottom w:val="single" w:color="auto" w:sz="4" w:space="0"/>
              <w:right w:val="single" w:color="auto" w:sz="4" w:space="0"/>
              <w:tl2br w:val="nil"/>
              <w:tr2bl w:val="nil"/>
            </w:tcBorders>
            <w:noWrap w:val="0"/>
            <w:vAlign w:val="center"/>
          </w:tcPr>
          <w:p w14:paraId="6826C83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59AAE77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违法行为持续时间较短，或浏览人数较少，或案涉商品、服务经营额较少；     </w:t>
            </w:r>
          </w:p>
          <w:p w14:paraId="6DBDEBE7">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对消费者欺骗、误导作用较小；</w:t>
            </w:r>
          </w:p>
          <w:p w14:paraId="6DC5243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447135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《江苏省广告条例》第九条第二款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涉及优惠措施的广告，应当明示优惠的范围、期限和内容。</w:t>
            </w:r>
          </w:p>
        </w:tc>
        <w:tc>
          <w:tcPr>
            <w:tcW w:w="4766" w:type="dxa"/>
            <w:tcBorders>
              <w:top w:val="nil"/>
              <w:left w:val="nil"/>
              <w:bottom w:val="single" w:color="auto" w:sz="4" w:space="0"/>
              <w:right w:val="single" w:color="auto" w:sz="4" w:space="0"/>
              <w:tl2br w:val="nil"/>
              <w:tr2bl w:val="nil"/>
            </w:tcBorders>
            <w:noWrap w:val="0"/>
            <w:vAlign w:val="center"/>
          </w:tcPr>
          <w:p w14:paraId="5E9DBC7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《江苏省广告条例》第五十四条第一款</w:t>
            </w:r>
            <w:r>
              <w:rPr>
                <w:rFonts w:hint="eastAsia" w:ascii="Times New Roman" w:hAnsi="Times New Roman" w:eastAsia="方正仿宋_GBK"/>
                <w:kern w:val="0"/>
                <w:sz w:val="21"/>
                <w:szCs w:val="24"/>
              </w:rPr>
              <w:t>　违反本条例第九条第二款至第五款规定，发布广告未明示有关内容的，由市场监督管理部门责令停止发布，对广告主处以一万元以上十万元以下的罚款。</w:t>
            </w:r>
          </w:p>
        </w:tc>
      </w:tr>
      <w:tr w14:paraId="6255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C77CB5">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00179A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32</w:t>
            </w:r>
          </w:p>
        </w:tc>
        <w:tc>
          <w:tcPr>
            <w:tcW w:w="1712" w:type="dxa"/>
            <w:tcBorders>
              <w:top w:val="nil"/>
              <w:left w:val="nil"/>
              <w:bottom w:val="single" w:color="auto" w:sz="4" w:space="0"/>
              <w:right w:val="single" w:color="auto" w:sz="4" w:space="0"/>
              <w:tl2br w:val="nil"/>
              <w:tr2bl w:val="nil"/>
            </w:tcBorders>
            <w:noWrap w:val="0"/>
            <w:vAlign w:val="center"/>
          </w:tcPr>
          <w:p w14:paraId="1366A14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发布推销有专用附件商品的广告，未明示该商品必须购买的附件</w:t>
            </w:r>
          </w:p>
        </w:tc>
        <w:tc>
          <w:tcPr>
            <w:tcW w:w="2421" w:type="dxa"/>
            <w:tcBorders>
              <w:top w:val="nil"/>
              <w:left w:val="nil"/>
              <w:bottom w:val="single" w:color="auto" w:sz="4" w:space="0"/>
              <w:right w:val="single" w:color="auto" w:sz="4" w:space="0"/>
              <w:tl2br w:val="nil"/>
              <w:tr2bl w:val="nil"/>
            </w:tcBorders>
            <w:noWrap w:val="0"/>
            <w:vAlign w:val="center"/>
          </w:tcPr>
          <w:p w14:paraId="00D093D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354DDBA">
            <w:pPr>
              <w:widowControl/>
              <w:spacing w:beforeLines="0" w:afterLines="0" w:line="280" w:lineRule="exact"/>
              <w:jc w:val="left"/>
              <w:rPr>
                <w:rFonts w:hint="default" w:ascii="Times New Roman" w:hAnsi="Times New Roman"/>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3FE021C6">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违法行为持续时间较短，或浏览人数较少，或案涉商品、服务经营额较少；   </w:t>
            </w:r>
          </w:p>
          <w:p w14:paraId="56667C8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另购相关附件符合交易习惯；    </w:t>
            </w:r>
          </w:p>
          <w:p w14:paraId="526AC53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1DD549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《江苏省广告条例》第九条第三款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推销有专用附件商品的广告，应当明示该商品必须购买的附件。</w:t>
            </w:r>
          </w:p>
        </w:tc>
        <w:tc>
          <w:tcPr>
            <w:tcW w:w="4766" w:type="dxa"/>
            <w:tcBorders>
              <w:top w:val="nil"/>
              <w:left w:val="nil"/>
              <w:bottom w:val="single" w:color="auto" w:sz="4" w:space="0"/>
              <w:right w:val="single" w:color="auto" w:sz="4" w:space="0"/>
              <w:tl2br w:val="nil"/>
              <w:tr2bl w:val="nil"/>
            </w:tcBorders>
            <w:noWrap w:val="0"/>
            <w:vAlign w:val="center"/>
          </w:tcPr>
          <w:p w14:paraId="3EFFBD5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《江苏省广告条例》第五十四条第一款</w:t>
            </w:r>
            <w:r>
              <w:rPr>
                <w:rFonts w:hint="eastAsia" w:ascii="Times New Roman" w:hAnsi="Times New Roman" w:eastAsia="方正仿宋_GBK"/>
                <w:kern w:val="0"/>
                <w:sz w:val="21"/>
                <w:szCs w:val="24"/>
              </w:rPr>
              <w:t>　违反本条例第九条第二款至第五款规定，发布广告未明示有关内容的，由市场监督管理部门责令停止发布，对广告主处以一万元以上十万元以下的罚款。</w:t>
            </w:r>
          </w:p>
        </w:tc>
      </w:tr>
      <w:tr w14:paraId="57DB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564D5C">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51B33CF">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33</w:t>
            </w:r>
          </w:p>
        </w:tc>
        <w:tc>
          <w:tcPr>
            <w:tcW w:w="1712" w:type="dxa"/>
            <w:tcBorders>
              <w:top w:val="nil"/>
              <w:left w:val="nil"/>
              <w:bottom w:val="single" w:color="auto" w:sz="4" w:space="0"/>
              <w:right w:val="single" w:color="auto" w:sz="4" w:space="0"/>
              <w:tl2br w:val="nil"/>
              <w:tr2bl w:val="nil"/>
            </w:tcBorders>
            <w:noWrap w:val="0"/>
            <w:vAlign w:val="center"/>
          </w:tcPr>
          <w:p w14:paraId="0D1723C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发布推销设备、技术、种子、种苗、种畜、种禽、种兽以及加工承揽广告，表明回收产品的，未明确回收的期限、价格、数量、质量要求等内容</w:t>
            </w:r>
          </w:p>
        </w:tc>
        <w:tc>
          <w:tcPr>
            <w:tcW w:w="2421" w:type="dxa"/>
            <w:tcBorders>
              <w:top w:val="nil"/>
              <w:left w:val="nil"/>
              <w:bottom w:val="single" w:color="auto" w:sz="4" w:space="0"/>
              <w:right w:val="single" w:color="auto" w:sz="4" w:space="0"/>
              <w:tl2br w:val="nil"/>
              <w:tr2bl w:val="nil"/>
            </w:tcBorders>
            <w:noWrap w:val="0"/>
            <w:vAlign w:val="center"/>
          </w:tcPr>
          <w:p w14:paraId="6F8B4DA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37C5BE8">
            <w:pPr>
              <w:widowControl/>
              <w:spacing w:beforeLines="0" w:afterLines="0"/>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46C0448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违法行为持续时间较短，或浏览人数较少，或案涉商品、服务经营额较少；       </w:t>
            </w:r>
          </w:p>
          <w:p w14:paraId="69B3355D">
            <w:pPr>
              <w:widowControl/>
              <w:spacing w:beforeLines="0" w:afterLines="0" w:line="30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未影响回收；</w:t>
            </w:r>
          </w:p>
          <w:p w14:paraId="362735A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E5314E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《江苏省广告条例》第九条第五款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推销设备、技术、种子、种苗、种畜、种禽、种兽以及加工承揽广告，表明回收产品的，应当明确回收的期限、价格、数量、质量要求等内容。</w:t>
            </w:r>
          </w:p>
        </w:tc>
        <w:tc>
          <w:tcPr>
            <w:tcW w:w="4766" w:type="dxa"/>
            <w:tcBorders>
              <w:top w:val="nil"/>
              <w:left w:val="nil"/>
              <w:bottom w:val="single" w:color="auto" w:sz="4" w:space="0"/>
              <w:right w:val="single" w:color="auto" w:sz="4" w:space="0"/>
              <w:tl2br w:val="nil"/>
              <w:tr2bl w:val="nil"/>
            </w:tcBorders>
            <w:noWrap w:val="0"/>
            <w:vAlign w:val="center"/>
          </w:tcPr>
          <w:p w14:paraId="25419E5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《江苏省广告条例》第五十四条第一款</w:t>
            </w:r>
            <w:r>
              <w:rPr>
                <w:rFonts w:hint="eastAsia" w:ascii="Times New Roman" w:hAnsi="Times New Roman" w:eastAsia="方正仿宋_GBK"/>
                <w:kern w:val="0"/>
                <w:sz w:val="21"/>
                <w:szCs w:val="24"/>
              </w:rPr>
              <w:t>　违反本条例第九条第二款至第五款规定，发布广告未明示有关内容的，由市场监督管理部门责令停止发布，对广告主处以一万元以上十万元以下的罚款。</w:t>
            </w:r>
          </w:p>
        </w:tc>
      </w:tr>
      <w:tr w14:paraId="7D10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266054">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7DD0F66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34</w:t>
            </w:r>
          </w:p>
        </w:tc>
        <w:tc>
          <w:tcPr>
            <w:tcW w:w="1712" w:type="dxa"/>
            <w:tcBorders>
              <w:top w:val="nil"/>
              <w:left w:val="nil"/>
              <w:bottom w:val="single" w:color="auto" w:sz="4" w:space="0"/>
              <w:right w:val="single" w:color="auto" w:sz="4" w:space="0"/>
              <w:tl2br w:val="nil"/>
              <w:tr2bl w:val="nil"/>
            </w:tcBorders>
            <w:noWrap w:val="0"/>
            <w:vAlign w:val="center"/>
          </w:tcPr>
          <w:p w14:paraId="5A1F267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发布其他食品广告宣传具有保健功能。</w:t>
            </w:r>
          </w:p>
        </w:tc>
        <w:tc>
          <w:tcPr>
            <w:tcW w:w="2421" w:type="dxa"/>
            <w:tcBorders>
              <w:top w:val="nil"/>
              <w:left w:val="nil"/>
              <w:bottom w:val="single" w:color="auto" w:sz="4" w:space="0"/>
              <w:right w:val="single" w:color="auto" w:sz="4" w:space="0"/>
              <w:tl2br w:val="nil"/>
              <w:tr2bl w:val="nil"/>
            </w:tcBorders>
            <w:noWrap w:val="0"/>
            <w:vAlign w:val="center"/>
          </w:tcPr>
          <w:p w14:paraId="4BEE85D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5B4C7E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687C929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在自有经营场所、自设网站或者拥有合法使用权的其他媒介发布自有商品、服务广告，广告影响力和影响范围较小；</w:t>
            </w:r>
          </w:p>
          <w:p w14:paraId="5C71B39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对市场秩序的扰乱程度较轻，对消费者欺骗、误导作用较小；                              </w:t>
            </w:r>
          </w:p>
          <w:p w14:paraId="1ECFE29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违法行为持续时间较短，或浏览人数较少，或案涉商品、服务经营额较少；</w:t>
            </w:r>
          </w:p>
          <w:p w14:paraId="5D6E929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5FEF59E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《江苏省广告条例》第十六条第二款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其他食品广告不得宣传具有保健功能，也不得借助宣传某些成分的作用明示或者暗示其具有保健功能。</w:t>
            </w:r>
          </w:p>
        </w:tc>
        <w:tc>
          <w:tcPr>
            <w:tcW w:w="4766" w:type="dxa"/>
            <w:tcBorders>
              <w:top w:val="nil"/>
              <w:left w:val="nil"/>
              <w:bottom w:val="single" w:color="auto" w:sz="4" w:space="0"/>
              <w:right w:val="single" w:color="auto" w:sz="4" w:space="0"/>
              <w:tl2br w:val="nil"/>
              <w:tr2bl w:val="nil"/>
            </w:tcBorders>
            <w:noWrap w:val="0"/>
            <w:vAlign w:val="center"/>
          </w:tcPr>
          <w:p w14:paraId="7646946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条例第十六条第二款规定发布其他食品广告的，由市场监督管理部门责令停止发布广告，对广告主处以广告费用一倍以上三倍以下的罚款，广告费用无法计算或者明显偏低的，处以十万元以上二十万元以下的罚款；情节严重的，处以广告费用三倍以上五倍以下的罚款，广告费用无法计算或者明显偏低的，处以二十万元以上一百万元以下的罚款。</w:t>
            </w:r>
          </w:p>
        </w:tc>
      </w:tr>
      <w:tr w14:paraId="441F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2BE44E">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B15CCBF">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35</w:t>
            </w:r>
          </w:p>
        </w:tc>
        <w:tc>
          <w:tcPr>
            <w:tcW w:w="1712" w:type="dxa"/>
            <w:tcBorders>
              <w:top w:val="nil"/>
              <w:left w:val="nil"/>
              <w:bottom w:val="single" w:color="auto" w:sz="4" w:space="0"/>
              <w:right w:val="single" w:color="auto" w:sz="4" w:space="0"/>
              <w:tl2br w:val="nil"/>
              <w:tr2bl w:val="nil"/>
            </w:tcBorders>
            <w:noWrap w:val="0"/>
            <w:vAlign w:val="center"/>
          </w:tcPr>
          <w:p w14:paraId="0C32A1E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发布的药品、医疗器械、保健食品和特殊医学用途配方食品广告与广告批准文件内容不一致</w:t>
            </w:r>
          </w:p>
        </w:tc>
        <w:tc>
          <w:tcPr>
            <w:tcW w:w="2421" w:type="dxa"/>
            <w:tcBorders>
              <w:top w:val="nil"/>
              <w:left w:val="nil"/>
              <w:bottom w:val="single" w:color="auto" w:sz="4" w:space="0"/>
              <w:right w:val="single" w:color="auto" w:sz="4" w:space="0"/>
              <w:tl2br w:val="nil"/>
              <w:tr2bl w:val="nil"/>
            </w:tcBorders>
            <w:noWrap w:val="0"/>
            <w:vAlign w:val="center"/>
          </w:tcPr>
          <w:p w14:paraId="666A4A52">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已取得广告批准文号且在有效期内；</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与原审查批准广告发布不一致的内容不虚假且不会对消费者产生误导；</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8EC20B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《互联网广告管理办法》 第七条第二款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对须经审查的互联网广告，应当严格按照审查通过的内容发布，不得剪辑、拼接、修改。已经审查通过的广告内容需要改动的，应当重新申请广告审查。</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《药品、医疗器械、保健食品、特殊医学用途配方食品广告审查管理暂行办法》 第二十条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广告主、广告经营者、广告发布者应当严格按照审查通过的内容发布药品、医疗器械、保健食品和特殊医学用途配方食品广告，不得进行剪辑、拼接、修改。</w:t>
            </w:r>
          </w:p>
          <w:p w14:paraId="7697721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已经审查通过的广告内容需要改动的，应当重新申请广告审查。</w:t>
            </w:r>
          </w:p>
        </w:tc>
        <w:tc>
          <w:tcPr>
            <w:tcW w:w="4766" w:type="dxa"/>
            <w:tcBorders>
              <w:top w:val="nil"/>
              <w:left w:val="nil"/>
              <w:bottom w:val="single" w:color="auto" w:sz="4" w:space="0"/>
              <w:right w:val="single" w:color="auto" w:sz="4" w:space="0"/>
              <w:tl2br w:val="nil"/>
              <w:tr2bl w:val="nil"/>
            </w:tcBorders>
            <w:noWrap w:val="0"/>
            <w:vAlign w:val="center"/>
          </w:tcPr>
          <w:p w14:paraId="4B1CD7C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《药品、医疗器械、保健食品、特殊医学用途配方食品广告审查管理暂行办法》 第二十六条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有下列情形之一的，按照《中华人民共和国广告法》第五十八条处罚：（三）违反本办法第二十条规定，未按照审查通过的内容发布药品、医疗器械、保健食品和特殊医学用途配方食品广告。</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《广告法》 第五十八条第一款第十四项</w:t>
            </w:r>
            <w:r>
              <w:rPr>
                <w:rFonts w:hint="eastAsia" w:ascii="Times New Roman" w:hAnsi="Times New Roman" w:eastAsia="方正仿宋_GBK"/>
                <w:kern w:val="0"/>
                <w:sz w:val="21"/>
                <w:szCs w:val="24"/>
              </w:rPr>
              <w:t>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r>
      <w:tr w14:paraId="03C4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1B8609">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78F681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36</w:t>
            </w:r>
          </w:p>
        </w:tc>
        <w:tc>
          <w:tcPr>
            <w:tcW w:w="1712" w:type="dxa"/>
            <w:tcBorders>
              <w:top w:val="nil"/>
              <w:left w:val="nil"/>
              <w:bottom w:val="single" w:color="auto" w:sz="4" w:space="0"/>
              <w:right w:val="single" w:color="auto" w:sz="4" w:space="0"/>
              <w:tl2br w:val="nil"/>
              <w:tr2bl w:val="nil"/>
            </w:tcBorders>
            <w:noWrap w:val="0"/>
            <w:vAlign w:val="center"/>
          </w:tcPr>
          <w:p w14:paraId="7B76C2B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未经用户同意、请求或者用户明确表示拒绝的，在用户发送的电子邮件或者互联网即时通讯信息中附加广告或者广告链接</w:t>
            </w:r>
          </w:p>
        </w:tc>
        <w:tc>
          <w:tcPr>
            <w:tcW w:w="2421" w:type="dxa"/>
            <w:tcBorders>
              <w:top w:val="nil"/>
              <w:left w:val="nil"/>
              <w:bottom w:val="single" w:color="auto" w:sz="4" w:space="0"/>
              <w:right w:val="single" w:color="auto" w:sz="4" w:space="0"/>
              <w:tl2br w:val="nil"/>
              <w:tr2bl w:val="nil"/>
            </w:tcBorders>
            <w:noWrap w:val="0"/>
            <w:vAlign w:val="center"/>
          </w:tcPr>
          <w:p w14:paraId="6AF1EC7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受众范围较小；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C59A8DE">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《互联网广告管理办法》第十七条第二款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未经用户同意、请求或者用户明确表示拒绝的，不得向其交通工具、导航设备、智能家电等发送互联网广告，不得在用户发送的电子邮件或者互联网即时通讯信息中附加广告或者广告链接。</w:t>
            </w:r>
          </w:p>
        </w:tc>
        <w:tc>
          <w:tcPr>
            <w:tcW w:w="4766" w:type="dxa"/>
            <w:tcBorders>
              <w:top w:val="nil"/>
              <w:left w:val="nil"/>
              <w:bottom w:val="single" w:color="auto" w:sz="4" w:space="0"/>
              <w:right w:val="single" w:color="auto" w:sz="4" w:space="0"/>
              <w:tl2br w:val="nil"/>
              <w:tr2bl w:val="nil"/>
            </w:tcBorders>
            <w:noWrap w:val="0"/>
            <w:vAlign w:val="center"/>
          </w:tcPr>
          <w:p w14:paraId="04A83EEB">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《互联网广告管理办法》第三十条第二款 </w:t>
            </w:r>
            <w:r>
              <w:rPr>
                <w:rFonts w:hint="eastAsia" w:ascii="Times New Roman" w:hAnsi="Times New Roman" w:eastAsia="方正仿宋_GBK"/>
                <w:kern w:val="0"/>
                <w:sz w:val="21"/>
                <w:szCs w:val="24"/>
              </w:rPr>
              <w:t>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r>
      <w:tr w14:paraId="5D2F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9618D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DC857E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37</w:t>
            </w:r>
          </w:p>
        </w:tc>
        <w:tc>
          <w:tcPr>
            <w:tcW w:w="1712" w:type="dxa"/>
            <w:tcBorders>
              <w:top w:val="nil"/>
              <w:left w:val="nil"/>
              <w:bottom w:val="single" w:color="auto" w:sz="4" w:space="0"/>
              <w:right w:val="single" w:color="auto" w:sz="4" w:space="0"/>
              <w:tl2br w:val="nil"/>
              <w:tr2bl w:val="nil"/>
            </w:tcBorders>
            <w:noWrap w:val="0"/>
            <w:vAlign w:val="center"/>
          </w:tcPr>
          <w:p w14:paraId="0413170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发布房地产预售、销售广告未载明开发企业名称、中介服务机构名称</w:t>
            </w:r>
          </w:p>
        </w:tc>
        <w:tc>
          <w:tcPr>
            <w:tcW w:w="2421" w:type="dxa"/>
            <w:tcBorders>
              <w:top w:val="nil"/>
              <w:left w:val="nil"/>
              <w:bottom w:val="single" w:color="auto" w:sz="4" w:space="0"/>
              <w:right w:val="single" w:color="auto" w:sz="4" w:space="0"/>
              <w:tl2br w:val="nil"/>
              <w:tr2bl w:val="nil"/>
            </w:tcBorders>
            <w:noWrap w:val="0"/>
            <w:vAlign w:val="center"/>
          </w:tcPr>
          <w:p w14:paraId="5B20093B">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具有合法经营资质，且已经取得预售或销售许可证书；</w:t>
            </w:r>
          </w:p>
          <w:p w14:paraId="0D9A5C4A">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没有造成危害后果；</w:t>
            </w:r>
          </w:p>
          <w:p w14:paraId="452F5E05">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及时停止发布或更正。</w:t>
            </w:r>
          </w:p>
        </w:tc>
        <w:tc>
          <w:tcPr>
            <w:tcW w:w="4771" w:type="dxa"/>
            <w:tcBorders>
              <w:top w:val="nil"/>
              <w:left w:val="nil"/>
              <w:bottom w:val="single" w:color="auto" w:sz="4" w:space="0"/>
              <w:right w:val="single" w:color="auto" w:sz="4" w:space="0"/>
              <w:tl2br w:val="nil"/>
              <w:tr2bl w:val="nil"/>
            </w:tcBorders>
            <w:noWrap w:val="0"/>
            <w:vAlign w:val="center"/>
          </w:tcPr>
          <w:p w14:paraId="5951879A">
            <w:pPr>
              <w:keepNext w:val="0"/>
              <w:keepLines w:val="0"/>
              <w:pageBreakBefore w:val="0"/>
              <w:widowControl w:val="0"/>
              <w:kinsoku/>
              <w:wordWrap/>
              <w:overflowPunct/>
              <w:topLinePunct w:val="0"/>
              <w:autoSpaceDE/>
              <w:autoSpaceDN/>
              <w:bidi w:val="0"/>
              <w:adjustRightInd w:val="0"/>
              <w:snapToGrid w:val="0"/>
              <w:spacing w:beforeLines="0" w:afterLines="0" w:line="30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《房地产广告发布规定》第七条 </w:t>
            </w:r>
            <w:r>
              <w:rPr>
                <w:rFonts w:hint="eastAsia" w:ascii="Times New Roman" w:hAnsi="Times New Roman" w:eastAsia="方正仿宋_GBK"/>
                <w:kern w:val="0"/>
                <w:sz w:val="21"/>
                <w:szCs w:val="24"/>
              </w:rPr>
              <w:t>房地产预售、销售广告，必须载明以下事项：</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（一）开发企业名称；</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（二）中介服务机构代理销售的，载明该机构名称；</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（三）预售或者销售许可证书号。</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广告中仅介绍房地产项目名称的，可以不必载明上述事项。</w:t>
            </w:r>
          </w:p>
        </w:tc>
        <w:tc>
          <w:tcPr>
            <w:tcW w:w="4766" w:type="dxa"/>
            <w:tcBorders>
              <w:top w:val="nil"/>
              <w:left w:val="nil"/>
              <w:bottom w:val="single" w:color="auto" w:sz="4" w:space="0"/>
              <w:right w:val="single" w:color="auto" w:sz="4" w:space="0"/>
              <w:tl2br w:val="nil"/>
              <w:tr2bl w:val="nil"/>
            </w:tcBorders>
            <w:noWrap w:val="0"/>
            <w:vAlign w:val="center"/>
          </w:tcPr>
          <w:p w14:paraId="7461AD62">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《房地产广告发布规定》第二十一条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14:paraId="4250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817" w:type="dxa"/>
            <w:vMerge w:val="continue"/>
            <w:tcBorders>
              <w:top w:val="single" w:color="auto" w:sz="4" w:space="0"/>
              <w:left w:val="single" w:color="auto" w:sz="4" w:space="0"/>
              <w:bottom w:val="nil"/>
              <w:right w:val="single" w:color="auto" w:sz="4" w:space="0"/>
              <w:tl2br w:val="nil"/>
              <w:tr2bl w:val="nil"/>
            </w:tcBorders>
            <w:noWrap w:val="0"/>
            <w:vAlign w:val="center"/>
          </w:tcPr>
          <w:p w14:paraId="7A9C5110">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12A7DAB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38</w:t>
            </w:r>
          </w:p>
        </w:tc>
        <w:tc>
          <w:tcPr>
            <w:tcW w:w="1712" w:type="dxa"/>
            <w:tcBorders>
              <w:top w:val="nil"/>
              <w:left w:val="nil"/>
              <w:bottom w:val="single" w:color="auto" w:sz="4" w:space="0"/>
              <w:right w:val="single" w:color="auto" w:sz="4" w:space="0"/>
              <w:tl2br w:val="nil"/>
              <w:tr2bl w:val="nil"/>
            </w:tcBorders>
            <w:noWrap w:val="0"/>
            <w:vAlign w:val="center"/>
          </w:tcPr>
          <w:p w14:paraId="0A3BA96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发布房地产预售或者销售广告未载明预售或者销售许可证书号</w:t>
            </w:r>
          </w:p>
        </w:tc>
        <w:tc>
          <w:tcPr>
            <w:tcW w:w="2421" w:type="dxa"/>
            <w:tcBorders>
              <w:top w:val="nil"/>
              <w:left w:val="nil"/>
              <w:bottom w:val="single" w:color="auto" w:sz="4" w:space="0"/>
              <w:right w:val="single" w:color="auto" w:sz="4" w:space="0"/>
              <w:tl2br w:val="nil"/>
              <w:tr2bl w:val="nil"/>
            </w:tcBorders>
            <w:noWrap w:val="0"/>
            <w:vAlign w:val="center"/>
          </w:tcPr>
          <w:p w14:paraId="4660BC6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9981A8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已取得预售或者销售许可证书；</w:t>
            </w:r>
          </w:p>
          <w:p w14:paraId="226CE67B">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没有造成危害后果；</w:t>
            </w:r>
          </w:p>
          <w:p w14:paraId="2FFAA78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及时停止发布或更正。</w:t>
            </w:r>
          </w:p>
        </w:tc>
        <w:tc>
          <w:tcPr>
            <w:tcW w:w="4771" w:type="dxa"/>
            <w:tcBorders>
              <w:top w:val="nil"/>
              <w:left w:val="nil"/>
              <w:bottom w:val="single" w:color="auto" w:sz="4" w:space="0"/>
              <w:right w:val="single" w:color="auto" w:sz="4" w:space="0"/>
              <w:tl2br w:val="nil"/>
              <w:tr2bl w:val="nil"/>
            </w:tcBorders>
            <w:noWrap w:val="0"/>
            <w:vAlign w:val="center"/>
          </w:tcPr>
          <w:p w14:paraId="20B6C54E">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《房地产广告发布规定》第七条  </w:t>
            </w:r>
            <w:r>
              <w:rPr>
                <w:rFonts w:hint="eastAsia" w:ascii="Times New Roman" w:hAnsi="Times New Roman" w:eastAsia="方正仿宋_GBK"/>
                <w:kern w:val="0"/>
                <w:sz w:val="21"/>
                <w:szCs w:val="24"/>
              </w:rPr>
              <w:t>房地产预售、销售广告，必须载明以下事项：（一）开发企业名称；（二）中介服务机构代理销售的，载明该机构名称；（三）预售或者销售许可证书号。</w:t>
            </w:r>
          </w:p>
          <w:p w14:paraId="78689605">
            <w:pPr>
              <w:keepNext w:val="0"/>
              <w:keepLines w:val="0"/>
              <w:pageBreakBefore w:val="0"/>
              <w:widowControl/>
              <w:kinsoku/>
              <w:wordWrap/>
              <w:overflowPunct/>
              <w:topLinePunct w:val="0"/>
              <w:autoSpaceDE/>
              <w:autoSpaceDN/>
              <w:bidi w:val="0"/>
              <w:adjustRightInd w:val="0"/>
              <w:snapToGrid w:val="0"/>
              <w:spacing w:beforeLines="0" w:afterLines="0" w:line="280" w:lineRule="exact"/>
              <w:ind w:firstLine="374" w:firstLineChars="200"/>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广告中仅介绍房地产项目名称的，可以不必载明上述事项。</w:t>
            </w:r>
          </w:p>
          <w:p w14:paraId="1534C1CD">
            <w:pPr>
              <w:spacing w:beforeLines="0" w:afterLines="0"/>
              <w:jc w:val="left"/>
              <w:rPr>
                <w:rFonts w:hint="default" w:ascii="Times New Roman" w:hAnsi="Times New Roman" w:eastAsia="方正仿宋_GBK"/>
                <w:kern w:val="0"/>
                <w:sz w:val="21"/>
                <w:szCs w:val="24"/>
              </w:rPr>
            </w:pPr>
          </w:p>
        </w:tc>
        <w:tc>
          <w:tcPr>
            <w:tcW w:w="4766" w:type="dxa"/>
            <w:tcBorders>
              <w:top w:val="nil"/>
              <w:left w:val="nil"/>
              <w:bottom w:val="single" w:color="auto" w:sz="4" w:space="0"/>
              <w:right w:val="single" w:color="auto" w:sz="4" w:space="0"/>
              <w:tl2br w:val="nil"/>
              <w:tr2bl w:val="nil"/>
            </w:tcBorders>
            <w:noWrap w:val="0"/>
            <w:vAlign w:val="center"/>
          </w:tcPr>
          <w:p w14:paraId="590A69F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《房地产广告发布规定》第二十一条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14:paraId="551F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5452A81A">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97E9F6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39</w:t>
            </w:r>
          </w:p>
        </w:tc>
        <w:tc>
          <w:tcPr>
            <w:tcW w:w="1712" w:type="dxa"/>
            <w:tcBorders>
              <w:top w:val="nil"/>
              <w:left w:val="nil"/>
              <w:bottom w:val="single" w:color="auto" w:sz="4" w:space="0"/>
              <w:right w:val="single" w:color="auto" w:sz="4" w:space="0"/>
              <w:tl2br w:val="nil"/>
              <w:tr2bl w:val="nil"/>
            </w:tcBorders>
            <w:noWrap w:val="0"/>
            <w:vAlign w:val="center"/>
          </w:tcPr>
          <w:p w14:paraId="52D1B87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发布医疗广告未标注医疗机构第一名称和《医疗广告审查证明》文号</w:t>
            </w:r>
          </w:p>
        </w:tc>
        <w:tc>
          <w:tcPr>
            <w:tcW w:w="2421" w:type="dxa"/>
            <w:tcBorders>
              <w:top w:val="nil"/>
              <w:left w:val="nil"/>
              <w:bottom w:val="single" w:color="auto" w:sz="4" w:space="0"/>
              <w:right w:val="single" w:color="auto" w:sz="4" w:space="0"/>
              <w:tl2br w:val="nil"/>
              <w:tr2bl w:val="nil"/>
            </w:tcBorders>
            <w:noWrap w:val="0"/>
            <w:vAlign w:val="center"/>
          </w:tcPr>
          <w:p w14:paraId="77F39424">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已取得《医疗广告审查证明》并在有效期内，且发布的医疗广告内容与批准内容一致；</w:t>
            </w:r>
          </w:p>
          <w:p w14:paraId="74346350">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A2DECD8">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《医疗广告管理办法》第十四条</w:t>
            </w:r>
            <w:r>
              <w:rPr>
                <w:rFonts w:hint="eastAsia" w:ascii="Times New Roman" w:hAnsi="Times New Roman" w:eastAsia="方正仿宋_GBK"/>
                <w:kern w:val="0"/>
                <w:sz w:val="21"/>
                <w:szCs w:val="24"/>
              </w:rPr>
              <w:t>　发布医疗广告应当标注医疗机构第一名称和《医疗广告审查证明》文号。</w:t>
            </w:r>
          </w:p>
        </w:tc>
        <w:tc>
          <w:tcPr>
            <w:tcW w:w="4766" w:type="dxa"/>
            <w:tcBorders>
              <w:top w:val="nil"/>
              <w:left w:val="nil"/>
              <w:bottom w:val="single" w:color="auto" w:sz="4" w:space="0"/>
              <w:right w:val="single" w:color="auto" w:sz="4" w:space="0"/>
              <w:tl2br w:val="nil"/>
              <w:tr2bl w:val="nil"/>
            </w:tcBorders>
            <w:noWrap w:val="0"/>
            <w:vAlign w:val="center"/>
          </w:tcPr>
          <w:p w14:paraId="44D32831">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《医疗广告管理办法》第二十二条　</w:t>
            </w:r>
            <w:r>
              <w:rPr>
                <w:rFonts w:hint="eastAsia" w:ascii="Times New Roman" w:hAnsi="Times New Roman" w:eastAsia="方正仿宋_GBK"/>
                <w:kern w:val="0"/>
                <w:sz w:val="21"/>
                <w:szCs w:val="24"/>
              </w:rPr>
              <w:t>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r>
      <w:tr w14:paraId="0AFA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single" w:color="auto" w:sz="4" w:space="0"/>
              <w:left w:val="single" w:color="auto" w:sz="4" w:space="0"/>
              <w:bottom w:val="nil"/>
              <w:right w:val="single" w:color="auto" w:sz="4" w:space="0"/>
              <w:tl2br w:val="nil"/>
              <w:tr2bl w:val="nil"/>
            </w:tcBorders>
            <w:noWrap w:val="0"/>
            <w:vAlign w:val="center"/>
          </w:tcPr>
          <w:p w14:paraId="4064FA81">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产品质量、标识</w:t>
            </w: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49F1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40</w:t>
            </w:r>
          </w:p>
        </w:tc>
        <w:tc>
          <w:tcPr>
            <w:tcW w:w="1712" w:type="dxa"/>
            <w:tcBorders>
              <w:top w:val="nil"/>
              <w:left w:val="nil"/>
              <w:bottom w:val="single" w:color="auto" w:sz="4" w:space="0"/>
              <w:right w:val="single" w:color="auto" w:sz="4" w:space="0"/>
              <w:tl2br w:val="nil"/>
              <w:tr2bl w:val="nil"/>
            </w:tcBorders>
            <w:noWrap w:val="0"/>
            <w:vAlign w:val="center"/>
          </w:tcPr>
          <w:p w14:paraId="0000678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系统成员转让厂商识别代码和相应条码</w:t>
            </w:r>
          </w:p>
        </w:tc>
        <w:tc>
          <w:tcPr>
            <w:tcW w:w="2421" w:type="dxa"/>
            <w:tcBorders>
              <w:top w:val="nil"/>
              <w:left w:val="nil"/>
              <w:bottom w:val="single" w:color="auto" w:sz="4" w:space="0"/>
              <w:right w:val="single" w:color="auto" w:sz="4" w:space="0"/>
              <w:tl2br w:val="nil"/>
              <w:tr2bl w:val="nil"/>
            </w:tcBorders>
            <w:noWrap w:val="0"/>
            <w:vAlign w:val="center"/>
          </w:tcPr>
          <w:p w14:paraId="063594B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受转让方使用该厂商识别代码和相应条码的次数较少，对商品流通管理的影响较小；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31D8364">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《商品条码管理办法》第二十条</w:t>
            </w:r>
            <w:r>
              <w:rPr>
                <w:rFonts w:hint="eastAsia" w:ascii="Times New Roman" w:hAnsi="Times New Roman" w:eastAsia="方正仿宋_GBK"/>
                <w:kern w:val="0"/>
                <w:sz w:val="21"/>
                <w:szCs w:val="24"/>
              </w:rPr>
              <w:t>　系统成员不得将其厂商识别代码和相应的商品条码转让他人使用。</w:t>
            </w:r>
          </w:p>
        </w:tc>
        <w:tc>
          <w:tcPr>
            <w:tcW w:w="4766" w:type="dxa"/>
            <w:tcBorders>
              <w:top w:val="nil"/>
              <w:left w:val="nil"/>
              <w:bottom w:val="single" w:color="auto" w:sz="4" w:space="0"/>
              <w:right w:val="single" w:color="auto" w:sz="4" w:space="0"/>
              <w:tl2br w:val="nil"/>
              <w:tr2bl w:val="nil"/>
            </w:tcBorders>
            <w:noWrap w:val="0"/>
            <w:vAlign w:val="center"/>
          </w:tcPr>
          <w:p w14:paraId="077353DE">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《商品条码管理办法》第三十四条 </w:t>
            </w:r>
            <w:r>
              <w:rPr>
                <w:rFonts w:hint="eastAsia" w:ascii="Times New Roman" w:hAnsi="Times New Roman" w:eastAsia="方正仿宋_GBK"/>
                <w:kern w:val="0"/>
                <w:sz w:val="21"/>
                <w:szCs w:val="24"/>
              </w:rPr>
              <w:t>系统成员转让厂商识别代码和相应条码的，责令其改正，没收违法所得，处以3000元罚款。</w:t>
            </w:r>
          </w:p>
        </w:tc>
      </w:tr>
      <w:tr w14:paraId="5903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48AD6A12">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8285FF">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41</w:t>
            </w:r>
          </w:p>
        </w:tc>
        <w:tc>
          <w:tcPr>
            <w:tcW w:w="1712" w:type="dxa"/>
            <w:tcBorders>
              <w:top w:val="nil"/>
              <w:left w:val="nil"/>
              <w:bottom w:val="single" w:color="auto" w:sz="4" w:space="0"/>
              <w:right w:val="single" w:color="auto" w:sz="4" w:space="0"/>
              <w:tl2br w:val="nil"/>
              <w:tr2bl w:val="nil"/>
            </w:tcBorders>
            <w:noWrap w:val="0"/>
            <w:vAlign w:val="center"/>
          </w:tcPr>
          <w:p w14:paraId="616CB92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经销的商品印有未经核准注册、备案或者伪造的商品条码</w:t>
            </w:r>
          </w:p>
        </w:tc>
        <w:tc>
          <w:tcPr>
            <w:tcW w:w="2421" w:type="dxa"/>
            <w:tcBorders>
              <w:top w:val="nil"/>
              <w:left w:val="nil"/>
              <w:bottom w:val="single" w:color="auto" w:sz="4" w:space="0"/>
              <w:right w:val="single" w:color="auto" w:sz="4" w:space="0"/>
              <w:tl2br w:val="nil"/>
              <w:tr2bl w:val="nil"/>
            </w:tcBorders>
            <w:noWrap w:val="0"/>
            <w:vAlign w:val="center"/>
          </w:tcPr>
          <w:p w14:paraId="70DF3F83">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能够说明商品来源；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该商品条码并非由经营者印刷或附加；</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p>
          <w:p w14:paraId="6C971B75">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r>
              <w:rPr>
                <w:rFonts w:hint="default" w:ascii="Times New Roman" w:hAnsi="Times New Roman" w:eastAsia="方正仿宋_GBK"/>
                <w:kern w:val="0"/>
                <w:sz w:val="21"/>
                <w:szCs w:val="24"/>
              </w:rPr>
              <w:br w:type="textWrapping"/>
            </w:r>
          </w:p>
        </w:tc>
        <w:tc>
          <w:tcPr>
            <w:tcW w:w="4771" w:type="dxa"/>
            <w:tcBorders>
              <w:top w:val="nil"/>
              <w:left w:val="nil"/>
              <w:bottom w:val="single" w:color="auto" w:sz="4" w:space="0"/>
              <w:right w:val="single" w:color="auto" w:sz="4" w:space="0"/>
              <w:tl2br w:val="nil"/>
              <w:tr2bl w:val="nil"/>
            </w:tcBorders>
            <w:noWrap w:val="0"/>
            <w:vAlign w:val="center"/>
          </w:tcPr>
          <w:p w14:paraId="09FC891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《商品条码管理办法》第二十一条</w:t>
            </w:r>
            <w:r>
              <w:rPr>
                <w:rFonts w:hint="eastAsia" w:ascii="Times New Roman" w:hAnsi="Times New Roman" w:eastAsia="方正仿宋_GBK"/>
                <w:kern w:val="0"/>
                <w:sz w:val="21"/>
                <w:szCs w:val="24"/>
              </w:rPr>
              <w:t>　任何单位和个人未经核准注册不得使用厂商识别代码和相应的条码。</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任何单位和个人不得在商品包装上使用其他条码冒充商品条码；不得伪造商品条码。</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第二十四条第一款</w:t>
            </w:r>
            <w:r>
              <w:rPr>
                <w:rFonts w:hint="eastAsia" w:ascii="Times New Roman" w:hAnsi="Times New Roman" w:eastAsia="方正仿宋_GBK"/>
                <w:kern w:val="0"/>
                <w:sz w:val="21"/>
                <w:szCs w:val="24"/>
              </w:rPr>
              <w:t>　销售者不得经销违反第二十一条规定的商品。</w:t>
            </w:r>
          </w:p>
          <w:p w14:paraId="3C389A4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第二十五条  </w:t>
            </w:r>
            <w:r>
              <w:rPr>
                <w:rFonts w:hint="eastAsia" w:ascii="Times New Roman" w:hAnsi="Times New Roman" w:eastAsia="方正仿宋_GBK"/>
                <w:kern w:val="0"/>
                <w:sz w:val="21"/>
                <w:szCs w:val="24"/>
              </w:rPr>
              <w:t>在国内生产的商品使用境外注册的商品条码时，生产者应当提供该商品条码的注册证明、授权委托书等相关证明，并到所在地的编码分支机构备案，由编码分支机构将备案材料报送编码中心。</w:t>
            </w:r>
          </w:p>
        </w:tc>
        <w:tc>
          <w:tcPr>
            <w:tcW w:w="4766" w:type="dxa"/>
            <w:tcBorders>
              <w:top w:val="nil"/>
              <w:left w:val="nil"/>
              <w:bottom w:val="single" w:color="auto" w:sz="4" w:space="0"/>
              <w:right w:val="single" w:color="auto" w:sz="4" w:space="0"/>
              <w:tl2br w:val="nil"/>
              <w:tr2bl w:val="nil"/>
            </w:tcBorders>
            <w:noWrap w:val="0"/>
            <w:vAlign w:val="center"/>
          </w:tcPr>
          <w:p w14:paraId="3360D764">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《商品条码管理办法》第三十六条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经销的商品印有未经核准注册、备案或者伪造的商品条码的，责令其改正，处以10000元以下罚款。</w:t>
            </w:r>
          </w:p>
        </w:tc>
      </w:tr>
      <w:tr w14:paraId="30E7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3"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482F92B7">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98FC0">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42</w:t>
            </w:r>
          </w:p>
        </w:tc>
        <w:tc>
          <w:tcPr>
            <w:tcW w:w="1712" w:type="dxa"/>
            <w:tcBorders>
              <w:top w:val="nil"/>
              <w:left w:val="nil"/>
              <w:bottom w:val="single" w:color="auto" w:sz="4" w:space="0"/>
              <w:right w:val="single" w:color="auto" w:sz="4" w:space="0"/>
              <w:tl2br w:val="nil"/>
              <w:tr2bl w:val="nil"/>
            </w:tcBorders>
            <w:noWrap w:val="0"/>
            <w:vAlign w:val="center"/>
          </w:tcPr>
          <w:p w14:paraId="01A3D95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使用已经注销的厂商识别代码和相应商品条码</w:t>
            </w:r>
          </w:p>
        </w:tc>
        <w:tc>
          <w:tcPr>
            <w:tcW w:w="2421" w:type="dxa"/>
            <w:tcBorders>
              <w:top w:val="nil"/>
              <w:left w:val="nil"/>
              <w:bottom w:val="single" w:color="auto" w:sz="4" w:space="0"/>
              <w:right w:val="single" w:color="auto" w:sz="4" w:space="0"/>
              <w:tl2br w:val="nil"/>
              <w:tr2bl w:val="nil"/>
            </w:tcBorders>
            <w:noWrap w:val="0"/>
            <w:vAlign w:val="center"/>
          </w:tcPr>
          <w:p w14:paraId="1EACAF8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同时具备以下条件的：</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停止使用；</w:t>
            </w:r>
          </w:p>
          <w:p w14:paraId="25EB984E">
            <w:pPr>
              <w:widowControl/>
              <w:spacing w:beforeLines="0" w:afterLines="0" w:line="30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使用时间较短或者货值金额较小；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03F214E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《商品条码管理办法》第三十二条 </w:t>
            </w:r>
            <w:r>
              <w:rPr>
                <w:rFonts w:hint="eastAsia" w:ascii="Times New Roman" w:hAnsi="Times New Roman" w:eastAsia="方正仿宋_GBK"/>
                <w:kern w:val="0"/>
                <w:sz w:val="21"/>
                <w:szCs w:val="24"/>
              </w:rPr>
              <w:t>任何单位和个人不得擅自使用已经注销的厂商识别代码和相应条码。</w:t>
            </w:r>
          </w:p>
          <w:p w14:paraId="431C4F9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《江苏省商品条码管理办法》第二十一条第四项  </w:t>
            </w:r>
            <w:r>
              <w:rPr>
                <w:rFonts w:hint="eastAsia" w:ascii="Times New Roman" w:hAnsi="Times New Roman" w:eastAsia="方正仿宋_GBK"/>
                <w:kern w:val="0"/>
                <w:sz w:val="21"/>
                <w:szCs w:val="24"/>
              </w:rPr>
              <w:t>任何单位和个人不得有下列行为：（四）使用已经注销的厂商识别代码和相应的商品条码；</w:t>
            </w:r>
          </w:p>
        </w:tc>
        <w:tc>
          <w:tcPr>
            <w:tcW w:w="4766" w:type="dxa"/>
            <w:tcBorders>
              <w:top w:val="nil"/>
              <w:left w:val="nil"/>
              <w:bottom w:val="single" w:color="auto" w:sz="4" w:space="0"/>
              <w:right w:val="single" w:color="auto" w:sz="4" w:space="0"/>
              <w:tl2br w:val="nil"/>
              <w:tr2bl w:val="nil"/>
            </w:tcBorders>
            <w:noWrap w:val="0"/>
            <w:vAlign w:val="center"/>
          </w:tcPr>
          <w:p w14:paraId="5D60FA6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《商品条码管理办法》第三十五条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未经核准注册使用厂商识别代码和相应商品条码的，在商品包装上使用其他条码冒充商品条码或伪造商品条码的，或者使用已经注销的厂商识别代码和相应商品条码的，责令其改正，处以30000元以下罚款。</w:t>
            </w:r>
          </w:p>
          <w:p w14:paraId="51E846A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《江苏省商品条码管理办法》第三十条  </w:t>
            </w:r>
            <w:r>
              <w:rPr>
                <w:rFonts w:hint="eastAsia" w:ascii="Times New Roman" w:hAnsi="Times New Roman" w:eastAsia="方正仿宋_GBK"/>
                <w:kern w:val="0"/>
                <w:sz w:val="21"/>
                <w:szCs w:val="24"/>
              </w:rPr>
              <w:t>违反本办法第二十一条规定，伪造、冒用商品条码或者在商品包装上使用其他条码冒充商品条码或者使用已经注销的厂商识别代码和相应条码的，责令限期改正，处5000元以上30000元以下的罚款。</w:t>
            </w:r>
          </w:p>
        </w:tc>
      </w:tr>
      <w:tr w14:paraId="09F8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349D35BB">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1B0CB3F7">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43</w:t>
            </w:r>
          </w:p>
        </w:tc>
        <w:tc>
          <w:tcPr>
            <w:tcW w:w="1712" w:type="dxa"/>
            <w:tcBorders>
              <w:top w:val="nil"/>
              <w:left w:val="nil"/>
              <w:bottom w:val="single" w:color="auto" w:sz="4" w:space="0"/>
              <w:right w:val="single" w:color="auto" w:sz="4" w:space="0"/>
              <w:tl2br w:val="nil"/>
              <w:tr2bl w:val="nil"/>
            </w:tcBorders>
            <w:noWrap w:val="0"/>
            <w:vAlign w:val="center"/>
          </w:tcPr>
          <w:p w14:paraId="11CE2F71">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应当标注能源效率标识而未标注</w:t>
            </w:r>
          </w:p>
        </w:tc>
        <w:tc>
          <w:tcPr>
            <w:tcW w:w="2421" w:type="dxa"/>
            <w:tcBorders>
              <w:top w:val="nil"/>
              <w:left w:val="nil"/>
              <w:bottom w:val="single" w:color="auto" w:sz="4" w:space="0"/>
              <w:right w:val="single" w:color="auto" w:sz="4" w:space="0"/>
              <w:tl2br w:val="nil"/>
              <w:tr2bl w:val="nil"/>
            </w:tcBorders>
            <w:noWrap w:val="0"/>
            <w:vAlign w:val="center"/>
          </w:tcPr>
          <w:p w14:paraId="4C649071">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25A025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产品已办理能源效率标识备案；</w:t>
            </w:r>
          </w:p>
          <w:p w14:paraId="6C55BE0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货值金额较小或者产品数量较少；</w:t>
            </w:r>
          </w:p>
          <w:p w14:paraId="67AFDC5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对已售出产品采取召回措施或其他补救措施；</w:t>
            </w:r>
          </w:p>
          <w:p w14:paraId="37372B7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27AE2E35">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《节约能源法》第十九条第一、二款</w:t>
            </w:r>
            <w:r>
              <w:rPr>
                <w:rFonts w:hint="eastAsia" w:ascii="Times New Roman" w:hAnsi="Times New Roman" w:eastAsia="方正仿宋_GBK"/>
                <w:kern w:val="0"/>
                <w:sz w:val="21"/>
                <w:szCs w:val="24"/>
              </w:rPr>
              <w:t>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　　生产者和进口商应当对其标注的能源效率标识及相关信息的准确性负责。禁止销售应当标注而未标注能源效率标识的产品。</w:t>
            </w:r>
          </w:p>
          <w:p w14:paraId="4EC03C4D">
            <w:pPr>
              <w:widowControl/>
              <w:spacing w:beforeLines="0" w:afterLines="0" w:line="24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《能源效率标识管理办法》第六条第二款  </w:t>
            </w:r>
            <w:r>
              <w:rPr>
                <w:rFonts w:hint="eastAsia" w:ascii="Times New Roman" w:hAnsi="Times New Roman" w:eastAsia="方正仿宋_GBK"/>
                <w:kern w:val="0"/>
                <w:sz w:val="21"/>
                <w:szCs w:val="24"/>
              </w:rPr>
              <w:t>列入《目录》的用能产品通过网络交易的，还应当在产品信息展示主页面醒目位置展示相应的能效标识。</w:t>
            </w:r>
          </w:p>
          <w:p w14:paraId="0EA88A25">
            <w:pPr>
              <w:widowControl/>
              <w:spacing w:beforeLines="0" w:afterLines="0" w:line="240" w:lineRule="exact"/>
              <w:ind w:firstLine="374" w:firstLineChars="200"/>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第十六条第一款 </w:t>
            </w:r>
            <w:r>
              <w:rPr>
                <w:rFonts w:hint="eastAsia" w:ascii="Times New Roman" w:hAnsi="Times New Roman" w:eastAsia="方正仿宋_GBK"/>
                <w:kern w:val="0"/>
                <w:sz w:val="21"/>
                <w:szCs w:val="24"/>
              </w:rPr>
              <w:t>销售者（含网络商品经营者）应当建立并执行进货检查验收制度，验明列入《目录》的用能产品能效标识，不得销售应当标注而未标注能效标识的产品。</w:t>
            </w:r>
          </w:p>
        </w:tc>
        <w:tc>
          <w:tcPr>
            <w:tcW w:w="4766" w:type="dxa"/>
            <w:tcBorders>
              <w:top w:val="nil"/>
              <w:left w:val="nil"/>
              <w:bottom w:val="single" w:color="auto" w:sz="4" w:space="0"/>
              <w:right w:val="single" w:color="auto" w:sz="4" w:space="0"/>
              <w:tl2br w:val="nil"/>
              <w:tr2bl w:val="nil"/>
            </w:tcBorders>
            <w:noWrap w:val="0"/>
            <w:vAlign w:val="center"/>
          </w:tcPr>
          <w:p w14:paraId="08ECE9B3">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《能源效率标识管理办法》第二十七条  </w:t>
            </w:r>
            <w:r>
              <w:rPr>
                <w:rFonts w:hint="eastAsia" w:ascii="Times New Roman" w:hAnsi="Times New Roman" w:eastAsia="方正仿宋_GBK"/>
                <w:kern w:val="0"/>
                <w:sz w:val="21"/>
                <w:szCs w:val="24"/>
              </w:rPr>
              <w:t>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p w14:paraId="198D9DC1">
            <w:pPr>
              <w:widowControl/>
              <w:spacing w:beforeLines="0" w:afterLines="0" w:line="26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《节约能源法》第七十三条第一款  </w:t>
            </w:r>
            <w:r>
              <w:rPr>
                <w:rFonts w:hint="eastAsia" w:ascii="Times New Roman" w:hAnsi="Times New Roman" w:eastAsia="方正仿宋_GBK"/>
                <w:kern w:val="0"/>
                <w:sz w:val="21"/>
                <w:szCs w:val="24"/>
              </w:rPr>
              <w:t>违反本法规定，应当标注能源效率标识而未标注的，由市场监督管理部门责令改正，处三万元以上五万元以下罚款。</w:t>
            </w:r>
          </w:p>
        </w:tc>
      </w:tr>
      <w:tr w14:paraId="0BC3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AAF314">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0B3E6D0">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44</w:t>
            </w:r>
          </w:p>
        </w:tc>
        <w:tc>
          <w:tcPr>
            <w:tcW w:w="1712" w:type="dxa"/>
            <w:tcBorders>
              <w:top w:val="nil"/>
              <w:left w:val="nil"/>
              <w:bottom w:val="single" w:color="auto" w:sz="4" w:space="0"/>
              <w:right w:val="single" w:color="auto" w:sz="4" w:space="0"/>
              <w:tl2br w:val="nil"/>
              <w:tr2bl w:val="nil"/>
            </w:tcBorders>
            <w:noWrap w:val="0"/>
            <w:vAlign w:val="center"/>
          </w:tcPr>
          <w:p w14:paraId="5B0F67E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销售应当标注但未标注水效标识的产品</w:t>
            </w:r>
          </w:p>
        </w:tc>
        <w:tc>
          <w:tcPr>
            <w:tcW w:w="2421" w:type="dxa"/>
            <w:tcBorders>
              <w:top w:val="nil"/>
              <w:left w:val="nil"/>
              <w:bottom w:val="single" w:color="auto" w:sz="4" w:space="0"/>
              <w:right w:val="single" w:color="auto" w:sz="4" w:space="0"/>
              <w:tl2br w:val="nil"/>
              <w:tr2bl w:val="nil"/>
            </w:tcBorders>
            <w:noWrap w:val="0"/>
            <w:vAlign w:val="center"/>
          </w:tcPr>
          <w:p w14:paraId="1E13E82A">
            <w:pPr>
              <w:widowControl/>
              <w:spacing w:beforeLines="0" w:afterLines="0" w:line="260" w:lineRule="exact"/>
              <w:rPr>
                <w:rFonts w:hint="default" w:ascii="Times New Roman" w:hAnsi="Times New Roman" w:eastAsia="方正仿宋_GBK"/>
                <w:kern w:val="0"/>
                <w:sz w:val="21"/>
                <w:szCs w:val="24"/>
                <w:highlight w:val="yellow"/>
              </w:rPr>
            </w:pPr>
            <w:r>
              <w:rPr>
                <w:rFonts w:hint="eastAsia" w:ascii="Times New Roman" w:hAnsi="Times New Roman" w:eastAsia="方正仿宋_GBK"/>
                <w:kern w:val="0"/>
                <w:sz w:val="21"/>
                <w:szCs w:val="24"/>
              </w:rPr>
              <w:t>同时具备以下条件：</w:t>
            </w:r>
          </w:p>
          <w:p w14:paraId="3B795520">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产品已办理水效标识备案；</w:t>
            </w:r>
          </w:p>
          <w:p w14:paraId="5766D29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货值金额较小或者产品数量较少；</w:t>
            </w:r>
          </w:p>
          <w:p w14:paraId="29A4193D">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对已售出产品采取召回措施或其他补救措施；</w:t>
            </w:r>
          </w:p>
          <w:p w14:paraId="434CC410">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如实说明进货来源；</w:t>
            </w:r>
          </w:p>
          <w:p w14:paraId="76CE5B40">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0B75FFB9">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凡列入《目录》的产品，应当在产品或者产品最小包装的明显部位标注水效标识，并在产品使用说明书中予以说明。对于网络交易，销售者应当在产品信息展示主页面醒目位置展示相应的水效标识。</w:t>
            </w:r>
          </w:p>
          <w:p w14:paraId="345F1C82">
            <w:pPr>
              <w:widowControl/>
              <w:spacing w:beforeLines="0" w:afterLines="0" w:line="24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第二十一条第一款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销售者（含网络商品经营者）应当建立并执行进货检查验收制度，对列入《目录》的产品，验明产品水效标识，不得销售应当标注但未标注水效标识的产品，不得伪造或者冒用水效标识。</w:t>
            </w:r>
          </w:p>
        </w:tc>
        <w:tc>
          <w:tcPr>
            <w:tcW w:w="4766" w:type="dxa"/>
            <w:tcBorders>
              <w:top w:val="nil"/>
              <w:left w:val="nil"/>
              <w:bottom w:val="single" w:color="auto" w:sz="4" w:space="0"/>
              <w:right w:val="single" w:color="auto" w:sz="4" w:space="0"/>
              <w:tl2br w:val="nil"/>
              <w:tr2bl w:val="nil"/>
            </w:tcBorders>
            <w:noWrap w:val="0"/>
            <w:vAlign w:val="center"/>
          </w:tcPr>
          <w:p w14:paraId="5A2343CC">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违反本办法规定，销售者（含网络商品经营者）有下列情形之一的，予以通报，并处1万元以上3万元以下罚款：（一）销售应当标注但未标注水效标识的产品的；</w:t>
            </w:r>
          </w:p>
        </w:tc>
      </w:tr>
      <w:tr w14:paraId="4946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530F89">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91F83D8">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45</w:t>
            </w:r>
          </w:p>
        </w:tc>
        <w:tc>
          <w:tcPr>
            <w:tcW w:w="1712" w:type="dxa"/>
            <w:tcBorders>
              <w:top w:val="nil"/>
              <w:left w:val="nil"/>
              <w:bottom w:val="single" w:color="auto" w:sz="4" w:space="0"/>
              <w:right w:val="single" w:color="auto" w:sz="4" w:space="0"/>
              <w:tl2br w:val="nil"/>
              <w:tr2bl w:val="nil"/>
            </w:tcBorders>
            <w:noWrap w:val="0"/>
            <w:vAlign w:val="center"/>
          </w:tcPr>
          <w:p w14:paraId="386ED56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销售使用不符合规定的水效标识的产品</w:t>
            </w:r>
          </w:p>
        </w:tc>
        <w:tc>
          <w:tcPr>
            <w:tcW w:w="2421" w:type="dxa"/>
            <w:tcBorders>
              <w:top w:val="nil"/>
              <w:left w:val="nil"/>
              <w:bottom w:val="single" w:color="auto" w:sz="4" w:space="0"/>
              <w:right w:val="single" w:color="auto" w:sz="4" w:space="0"/>
              <w:tl2br w:val="nil"/>
              <w:tr2bl w:val="nil"/>
            </w:tcBorders>
            <w:noWrap w:val="0"/>
            <w:vAlign w:val="center"/>
          </w:tcPr>
          <w:p w14:paraId="622213A6">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3536FCE">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产品已办理水效标识备案；</w:t>
            </w:r>
          </w:p>
          <w:p w14:paraId="1FBF688F">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货值金额较小或者产品数量较少；</w:t>
            </w:r>
          </w:p>
          <w:p w14:paraId="6C21EF48">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对已售出产品采取召回措施或其他补救措施；</w:t>
            </w:r>
          </w:p>
          <w:p w14:paraId="0F97667A">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如实说明进货来源；</w:t>
            </w:r>
          </w:p>
          <w:p w14:paraId="75212F91">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24C0134A">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凡列入《目录》的产品，应当在产品或者产品最小包装的明显部位标注水效标识，并在产品使用说明书中予以说明。对于网络交易，销售者应当在产品信息展示主页面醒目位置展示相应的水效标识。</w:t>
            </w:r>
          </w:p>
          <w:p w14:paraId="5BB0D351">
            <w:pPr>
              <w:widowControl/>
              <w:spacing w:beforeLines="0" w:afterLines="0" w:line="240" w:lineRule="exact"/>
              <w:ind w:firstLine="342" w:firstLineChars="200"/>
              <w:rPr>
                <w:rFonts w:hint="default" w:ascii="Times New Roman" w:hAnsi="Times New Roman" w:eastAsia="方正仿宋_GBK"/>
                <w:spacing w:val="-8"/>
                <w:kern w:val="0"/>
                <w:sz w:val="21"/>
                <w:szCs w:val="24"/>
              </w:rPr>
            </w:pPr>
            <w:r>
              <w:rPr>
                <w:rFonts w:hint="eastAsia" w:ascii="Times New Roman" w:hAnsi="Times New Roman" w:eastAsia="方正仿宋_GBK"/>
                <w:b/>
                <w:spacing w:val="-8"/>
                <w:kern w:val="0"/>
                <w:sz w:val="21"/>
                <w:szCs w:val="24"/>
              </w:rPr>
              <w:t>第十一条</w:t>
            </w:r>
            <w:r>
              <w:rPr>
                <w:rFonts w:hint="default" w:ascii="Times New Roman" w:hAnsi="Times New Roman" w:eastAsia="方正仿宋_GBK"/>
                <w:spacing w:val="-8"/>
                <w:kern w:val="0"/>
                <w:sz w:val="21"/>
                <w:szCs w:val="24"/>
              </w:rPr>
              <w:t xml:space="preserve">  </w:t>
            </w:r>
            <w:r>
              <w:rPr>
                <w:rFonts w:hint="eastAsia" w:ascii="Times New Roman" w:hAnsi="Times New Roman" w:eastAsia="方正仿宋_GBK"/>
                <w:spacing w:val="-8"/>
                <w:kern w:val="0"/>
                <w:sz w:val="21"/>
                <w:szCs w:val="24"/>
              </w:rPr>
              <w:t>生产者和进口商应当根据国家统一规定的水效标识样式（基本样式见附件）、规格以及标注规定，印制和使用水效标识。</w:t>
            </w:r>
          </w:p>
          <w:p w14:paraId="0D044997">
            <w:pPr>
              <w:widowControl/>
              <w:spacing w:beforeLines="0" w:afterLines="0" w:line="240" w:lineRule="exact"/>
              <w:ind w:firstLine="342" w:firstLineChars="200"/>
              <w:rPr>
                <w:rFonts w:hint="default" w:ascii="Times New Roman" w:hAnsi="Times New Roman" w:eastAsia="方正仿宋_GBK"/>
                <w:spacing w:val="-8"/>
                <w:kern w:val="0"/>
                <w:sz w:val="21"/>
                <w:szCs w:val="24"/>
              </w:rPr>
            </w:pPr>
            <w:r>
              <w:rPr>
                <w:rFonts w:hint="eastAsia" w:ascii="Times New Roman" w:hAnsi="Times New Roman" w:eastAsia="方正仿宋_GBK"/>
                <w:spacing w:val="-8"/>
                <w:kern w:val="0"/>
                <w:sz w:val="21"/>
                <w:szCs w:val="24"/>
              </w:rPr>
              <w:t>在产品包装物、说明书、广告宣传以及网络商品交易产品信息展示主页面中使用的水效标识，可按比例放大或者缩小，并清晰可辨。</w:t>
            </w:r>
          </w:p>
          <w:p w14:paraId="32DBD0A1">
            <w:pPr>
              <w:widowControl/>
              <w:spacing w:beforeLines="0" w:afterLines="0" w:line="24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第二十一条第一款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销售者（含网络商品经营者）应当建立并执行进货检查验收制度，对列入《目录》的产品，验明产品水效标识，不得销售应当标注但未标注水效标识的产品，不得伪造或者冒用水效标识。</w:t>
            </w:r>
          </w:p>
        </w:tc>
        <w:tc>
          <w:tcPr>
            <w:tcW w:w="4766" w:type="dxa"/>
            <w:tcBorders>
              <w:top w:val="nil"/>
              <w:left w:val="nil"/>
              <w:bottom w:val="single" w:color="auto" w:sz="4" w:space="0"/>
              <w:right w:val="single" w:color="auto" w:sz="4" w:space="0"/>
              <w:tl2br w:val="nil"/>
              <w:tr2bl w:val="nil"/>
            </w:tcBorders>
            <w:noWrap w:val="0"/>
            <w:vAlign w:val="center"/>
          </w:tcPr>
          <w:p w14:paraId="6AA3A0CC">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违反本办法规定，销售者（含网络商品经营者）有下列情形之一的，予以通报，并处1万元以上3万元以下罚款：（二）销售使用不符合规定的水效标识的产品的；</w:t>
            </w:r>
          </w:p>
        </w:tc>
      </w:tr>
      <w:tr w14:paraId="6419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2B91D83C">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2A6A9E1">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46</w:t>
            </w:r>
          </w:p>
        </w:tc>
        <w:tc>
          <w:tcPr>
            <w:tcW w:w="1712" w:type="dxa"/>
            <w:tcBorders>
              <w:top w:val="nil"/>
              <w:left w:val="nil"/>
              <w:bottom w:val="single" w:color="auto" w:sz="4" w:space="0"/>
              <w:right w:val="single" w:color="auto" w:sz="4" w:space="0"/>
              <w:tl2br w:val="nil"/>
              <w:tr2bl w:val="nil"/>
            </w:tcBorders>
            <w:noWrap w:val="0"/>
            <w:vAlign w:val="center"/>
          </w:tcPr>
          <w:p w14:paraId="074DCF6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在网络交易产品信息主页面展示的水效标识不符合规定</w:t>
            </w:r>
          </w:p>
        </w:tc>
        <w:tc>
          <w:tcPr>
            <w:tcW w:w="2421" w:type="dxa"/>
            <w:tcBorders>
              <w:top w:val="nil"/>
              <w:left w:val="nil"/>
              <w:bottom w:val="single" w:color="auto" w:sz="4" w:space="0"/>
              <w:right w:val="single" w:color="auto" w:sz="4" w:space="0"/>
              <w:tl2br w:val="nil"/>
              <w:tr2bl w:val="nil"/>
            </w:tcBorders>
            <w:noWrap w:val="0"/>
            <w:vAlign w:val="center"/>
          </w:tcPr>
          <w:p w14:paraId="0B131C5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F8D748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产品已办理水效标识备案；</w:t>
            </w:r>
          </w:p>
          <w:p w14:paraId="3F14202B">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2006205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4DA19C1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凡列入《目录》的产品，应当在产品或者产品最小包装的明显部位标注水效标识，并在产品使用说明书中予以说明。对于网络交易，销售者应当在产品信息展示主页面醒目位置展示相应的水效标识。</w:t>
            </w:r>
          </w:p>
          <w:p w14:paraId="13BD95DA">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b/>
                <w:kern w:val="0"/>
                <w:sz w:val="21"/>
                <w:szCs w:val="24"/>
              </w:rPr>
              <w:t xml:space="preserve">    </w:t>
            </w:r>
            <w:r>
              <w:rPr>
                <w:rFonts w:hint="eastAsia" w:ascii="Times New Roman" w:hAnsi="Times New Roman" w:eastAsia="方正仿宋_GBK"/>
                <w:b/>
                <w:kern w:val="0"/>
                <w:sz w:val="21"/>
                <w:szCs w:val="24"/>
              </w:rPr>
              <w:t>第二十一条第一款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销售者（含网络商品经营者）应当建立并执行进货检查验收制度，对列入《目录》的产品，验明产品水效标识，不得销售应当标注但未标注水效标识的产品，不得伪造或者冒用水效标识。</w:t>
            </w:r>
          </w:p>
        </w:tc>
        <w:tc>
          <w:tcPr>
            <w:tcW w:w="4766" w:type="dxa"/>
            <w:tcBorders>
              <w:top w:val="nil"/>
              <w:left w:val="nil"/>
              <w:bottom w:val="single" w:color="auto" w:sz="4" w:space="0"/>
              <w:right w:val="single" w:color="auto" w:sz="4" w:space="0"/>
              <w:tl2br w:val="nil"/>
              <w:tr2bl w:val="nil"/>
            </w:tcBorders>
            <w:noWrap w:val="0"/>
            <w:vAlign w:val="center"/>
          </w:tcPr>
          <w:p w14:paraId="00D5FAE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违反本办法规定，销售者（含网络商品经营者）有下列情形之一的，予以通报，并处1万元以上3万元以下罚款：（三）在网络交易产品信息主页面展示的水效标识不符合规定的；</w:t>
            </w:r>
          </w:p>
        </w:tc>
      </w:tr>
      <w:tr w14:paraId="12D4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6B3E985B">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719388D0">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47</w:t>
            </w:r>
          </w:p>
        </w:tc>
        <w:tc>
          <w:tcPr>
            <w:tcW w:w="1712" w:type="dxa"/>
            <w:tcBorders>
              <w:top w:val="nil"/>
              <w:left w:val="nil"/>
              <w:bottom w:val="single" w:color="auto" w:sz="4" w:space="0"/>
              <w:right w:val="single" w:color="auto" w:sz="4" w:space="0"/>
              <w:tl2br w:val="nil"/>
              <w:tr2bl w:val="nil"/>
            </w:tcBorders>
            <w:noWrap w:val="0"/>
            <w:vAlign w:val="center"/>
          </w:tcPr>
          <w:p w14:paraId="5A7A23A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取得工业产品生产许可的企业未能持续保持规定条件</w:t>
            </w:r>
          </w:p>
        </w:tc>
        <w:tc>
          <w:tcPr>
            <w:tcW w:w="2421" w:type="dxa"/>
            <w:tcBorders>
              <w:top w:val="nil"/>
              <w:left w:val="nil"/>
              <w:bottom w:val="single" w:color="auto" w:sz="4" w:space="0"/>
              <w:right w:val="single" w:color="auto" w:sz="4" w:space="0"/>
              <w:tl2br w:val="nil"/>
              <w:tr2bl w:val="nil"/>
            </w:tcBorders>
            <w:noWrap w:val="0"/>
            <w:vAlign w:val="center"/>
          </w:tcPr>
          <w:p w14:paraId="4B466533">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BB1C652">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06BD286F">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4BA2ECFA">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期间未生产不合格的产品或者未流入市场或者流入市场数量较少并及时召回；                          </w:t>
            </w:r>
          </w:p>
          <w:p w14:paraId="5E0F78DF">
            <w:pPr>
              <w:keepNext w:val="0"/>
              <w:keepLines w:val="0"/>
              <w:pageBreakBefore w:val="0"/>
              <w:widowControl/>
              <w:kinsoku/>
              <w:wordWrap/>
              <w:overflowPunct/>
              <w:topLinePunct w:val="0"/>
              <w:autoSpaceDE/>
              <w:autoSpaceDN/>
              <w:bidi w:val="0"/>
              <w:adjustRightInd w:val="0"/>
              <w:snapToGrid w:val="0"/>
              <w:spacing w:beforeLines="0" w:afterLines="0" w:line="28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928DB4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《工业产品生产许可证管理条例实施办法》第四十六条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取得生产许可的企业应当保证产品质量稳定合格，并持续保持取得生产许可的规定条件。</w:t>
            </w:r>
          </w:p>
        </w:tc>
        <w:tc>
          <w:tcPr>
            <w:tcW w:w="4766" w:type="dxa"/>
            <w:tcBorders>
              <w:top w:val="nil"/>
              <w:left w:val="nil"/>
              <w:bottom w:val="single" w:color="auto" w:sz="4" w:space="0"/>
              <w:right w:val="single" w:color="auto" w:sz="4" w:space="0"/>
              <w:tl2br w:val="nil"/>
              <w:tr2bl w:val="nil"/>
            </w:tcBorders>
            <w:noWrap w:val="0"/>
            <w:vAlign w:val="center"/>
          </w:tcPr>
          <w:p w14:paraId="2B3CB23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《工业产品生产许可证管理条例实施办法》第四十九条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违反本办法第四十六条规定，取得生产许可的企业未能持续保持取得生产许可的规定条件的，责令改正，处1万元以上3万元以下罚款。</w:t>
            </w:r>
          </w:p>
        </w:tc>
      </w:tr>
      <w:tr w14:paraId="2B53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00FAA4C1">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7BA597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48</w:t>
            </w:r>
          </w:p>
        </w:tc>
        <w:tc>
          <w:tcPr>
            <w:tcW w:w="1712" w:type="dxa"/>
            <w:tcBorders>
              <w:top w:val="nil"/>
              <w:left w:val="nil"/>
              <w:bottom w:val="single" w:color="auto" w:sz="4" w:space="0"/>
              <w:right w:val="single" w:color="auto" w:sz="4" w:space="0"/>
              <w:tl2br w:val="nil"/>
              <w:tr2bl w:val="nil"/>
            </w:tcBorders>
            <w:noWrap w:val="0"/>
            <w:vAlign w:val="center"/>
          </w:tcPr>
          <w:p w14:paraId="44ED6E5D">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销售伪造或者冒用他人的厂名、厂址、认证标志等质量标志，伪造产地的产品</w:t>
            </w:r>
          </w:p>
        </w:tc>
        <w:tc>
          <w:tcPr>
            <w:tcW w:w="2421" w:type="dxa"/>
            <w:tcBorders>
              <w:top w:val="nil"/>
              <w:left w:val="nil"/>
              <w:bottom w:val="single" w:color="auto" w:sz="4" w:space="0"/>
              <w:right w:val="single" w:color="auto" w:sz="4" w:space="0"/>
              <w:tl2br w:val="nil"/>
              <w:tr2bl w:val="nil"/>
            </w:tcBorders>
            <w:noWrap w:val="0"/>
            <w:vAlign w:val="center"/>
          </w:tcPr>
          <w:p w14:paraId="1AA24C52">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通过合法渠道进货，履行进货检查验收义务；</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不知道销售的商品是伪造或者冒用他人的厂名、厂址并如实说明进货来源；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及时停止销售。</w:t>
            </w:r>
          </w:p>
        </w:tc>
        <w:tc>
          <w:tcPr>
            <w:tcW w:w="4771" w:type="dxa"/>
            <w:tcBorders>
              <w:top w:val="nil"/>
              <w:left w:val="nil"/>
              <w:bottom w:val="single" w:color="auto" w:sz="4" w:space="0"/>
              <w:right w:val="single" w:color="auto" w:sz="4" w:space="0"/>
              <w:tl2br w:val="nil"/>
              <w:tr2bl w:val="nil"/>
            </w:tcBorders>
            <w:noWrap w:val="0"/>
            <w:vAlign w:val="center"/>
          </w:tcPr>
          <w:p w14:paraId="5364FFF7">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《产品质量法》第五条  </w:t>
            </w:r>
            <w:r>
              <w:rPr>
                <w:rFonts w:hint="eastAsia" w:ascii="Times New Roman" w:hAnsi="Times New Roman" w:eastAsia="方正仿宋_GBK"/>
                <w:kern w:val="0"/>
                <w:sz w:val="21"/>
                <w:szCs w:val="24"/>
              </w:rPr>
              <w:t>禁止伪造或者冒用认证标志等质量标志；禁止伪造产品的产地，伪造或者冒用他人的厂名、厂址；禁止在生产、销售的产品中掺杂、掺假，以假充真，以次充好。</w:t>
            </w:r>
          </w:p>
        </w:tc>
        <w:tc>
          <w:tcPr>
            <w:tcW w:w="4766" w:type="dxa"/>
            <w:tcBorders>
              <w:top w:val="nil"/>
              <w:left w:val="nil"/>
              <w:bottom w:val="single" w:color="auto" w:sz="4" w:space="0"/>
              <w:right w:val="single" w:color="auto" w:sz="4" w:space="0"/>
              <w:tl2br w:val="nil"/>
              <w:tr2bl w:val="nil"/>
            </w:tcBorders>
            <w:noWrap w:val="0"/>
            <w:vAlign w:val="center"/>
          </w:tcPr>
          <w:p w14:paraId="11DB18B3">
            <w:pPr>
              <w:keepNext w:val="0"/>
              <w:keepLines w:val="0"/>
              <w:pageBreakBefore w:val="0"/>
              <w:widowControl/>
              <w:kinsoku/>
              <w:wordWrap/>
              <w:overflowPunct/>
              <w:topLinePunct w:val="0"/>
              <w:autoSpaceDE/>
              <w:autoSpaceDN/>
              <w:bidi w:val="0"/>
              <w:adjustRightInd w:val="0"/>
              <w:snapToGrid w:val="0"/>
              <w:spacing w:beforeLines="0" w:afterLines="0" w:line="250" w:lineRule="exact"/>
              <w:jc w:val="lef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《产品质量法》第五十三条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第五十五条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销售者销售本法第四十九条至第五十三条规定禁止销售的产品，有充分证据证明其不知道该产品为禁止销售的产品并如实说明其进货来源的，可以从轻或者减轻处罚。</w:t>
            </w:r>
          </w:p>
        </w:tc>
      </w:tr>
      <w:tr w14:paraId="7C37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26FFCB94">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食品安全</w:t>
            </w: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457593DE">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49</w:t>
            </w:r>
          </w:p>
        </w:tc>
        <w:tc>
          <w:tcPr>
            <w:tcW w:w="1712" w:type="dxa"/>
            <w:tcBorders>
              <w:top w:val="nil"/>
              <w:left w:val="nil"/>
              <w:bottom w:val="single" w:color="auto" w:sz="4" w:space="0"/>
              <w:right w:val="single" w:color="auto" w:sz="4" w:space="0"/>
              <w:tl2br w:val="nil"/>
              <w:tr2bl w:val="nil"/>
            </w:tcBorders>
            <w:noWrap w:val="0"/>
            <w:vAlign w:val="center"/>
          </w:tcPr>
          <w:p w14:paraId="43E8161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经营不符合食品安全标准的食用农产品</w:t>
            </w:r>
          </w:p>
        </w:tc>
        <w:tc>
          <w:tcPr>
            <w:tcW w:w="2421" w:type="dxa"/>
            <w:tcBorders>
              <w:top w:val="nil"/>
              <w:left w:val="nil"/>
              <w:bottom w:val="single" w:color="auto" w:sz="4" w:space="0"/>
              <w:right w:val="single" w:color="auto" w:sz="4" w:space="0"/>
              <w:tl2br w:val="nil"/>
              <w:tr2bl w:val="nil"/>
            </w:tcBorders>
            <w:noWrap w:val="0"/>
            <w:vAlign w:val="center"/>
          </w:tcPr>
          <w:p w14:paraId="164D57DF">
            <w:pPr>
              <w:widowControl/>
              <w:spacing w:beforeLines="0" w:afterLines="0" w:line="260" w:lineRule="exac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7A53FAAE">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首违不罚须同时具备以下条件：</w:t>
            </w:r>
          </w:p>
          <w:p w14:paraId="7CA3000A">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ACAE562">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非主观故意、食品不符合食品安全标准不是其造成的；</w:t>
            </w:r>
          </w:p>
          <w:p w14:paraId="534F582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能如实说明进货来源；</w:t>
            </w:r>
          </w:p>
          <w:p w14:paraId="26F8468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未发生食品安全事故或未发生食源性疾病；</w:t>
            </w:r>
          </w:p>
          <w:p w14:paraId="3DDFC30B">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p w14:paraId="466E7C80">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轻微违法不予处罚须同时具备以下条件：</w:t>
            </w:r>
          </w:p>
          <w:p w14:paraId="58831256">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非主观故意、食品不符合食品安全标准不是其造成的；</w:t>
            </w:r>
          </w:p>
          <w:p w14:paraId="1D6816B3">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能如实说明进货来源；</w:t>
            </w:r>
          </w:p>
          <w:p w14:paraId="23CC3095">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未发生食品安全事故或未发生食源性疾病；</w:t>
            </w:r>
          </w:p>
          <w:p w14:paraId="162B3C8D">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p w14:paraId="71399BE3">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食品经营者在两年内第三次出现本类型违法行为的，不予免罚。</w:t>
            </w:r>
          </w:p>
        </w:tc>
        <w:tc>
          <w:tcPr>
            <w:tcW w:w="4771" w:type="dxa"/>
            <w:tcBorders>
              <w:top w:val="nil"/>
              <w:left w:val="nil"/>
              <w:bottom w:val="single" w:color="auto" w:sz="4" w:space="0"/>
              <w:right w:val="single" w:color="auto" w:sz="4" w:space="0"/>
              <w:tl2br w:val="nil"/>
              <w:tr2bl w:val="nil"/>
            </w:tcBorders>
            <w:noWrap w:val="0"/>
            <w:vAlign w:val="center"/>
          </w:tcPr>
          <w:p w14:paraId="1E6A175B">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　</w:t>
            </w:r>
            <w:r>
              <w:rPr>
                <w:rFonts w:hint="eastAsia" w:ascii="Times New Roman" w:hAnsi="Times New Roman" w:eastAsia="方正仿宋_GBK"/>
                <w:kern w:val="0"/>
                <w:sz w:val="21"/>
                <w:szCs w:val="24"/>
              </w:rPr>
              <w:t>禁止生产经营下列食品、食品添加剂、食品相关产品：</w:t>
            </w:r>
          </w:p>
          <w:p w14:paraId="6357BC12">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（一）用非食品原料生产的食品或者添加食品添加剂以外的化学物质和其他可能危害人体健康物质的食品，或者用回收食品作为原料生产的食品；</w:t>
            </w:r>
          </w:p>
          <w:p w14:paraId="386127E0">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（二）致病性微生物，农药残留、兽药残留、生物毒素、重金属等污染物质以及其他危害人体健康的物质含量超过食品安全标准限量的食品、食品添加剂、食品相关产品；</w:t>
            </w:r>
          </w:p>
          <w:p w14:paraId="382438B8">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（三）用超过保质期的食品原料、食品添加剂生产的食品、食品添加剂；</w:t>
            </w:r>
          </w:p>
          <w:p w14:paraId="669007AB">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（四）超范围、超限量使用食品添加剂的食品；</w:t>
            </w:r>
          </w:p>
          <w:p w14:paraId="43699716">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（五）营养成分不符合食品安全标准的专供婴幼儿和其他特定人群的主辅食品；</w:t>
            </w:r>
          </w:p>
          <w:p w14:paraId="7C21F05D">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（六）腐败变质、油脂酸败、霉变生虫、污秽不洁、混有异物、掺假掺杂或者感官性状异常的食品、食品添加剂；</w:t>
            </w:r>
          </w:p>
          <w:p w14:paraId="58012BDD">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（七）病死、毒死或者死因不明的禽、畜、兽、水产动物肉类及其制品；</w:t>
            </w:r>
          </w:p>
          <w:p w14:paraId="205A2110">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（八）未按规定进行检疫或者检疫不合格的肉类，或者未经检验或者检验不合格的肉类制品；</w:t>
            </w:r>
          </w:p>
          <w:p w14:paraId="2B9B630E">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（九）被包装材料、容器、运输工具等污染的食品、食品添加剂；</w:t>
            </w:r>
          </w:p>
          <w:p w14:paraId="54F97A2C">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（十）标注虚假生产日期、保质期或者超过保质期的食品、食品添加剂；</w:t>
            </w:r>
          </w:p>
          <w:p w14:paraId="5D5619C4">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（十一）无标签的预包装食品、食品添加剂；</w:t>
            </w:r>
          </w:p>
          <w:p w14:paraId="47689D54">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（十二）国家为防病等特殊需要明令禁止生产经营的食品；</w:t>
            </w:r>
          </w:p>
          <w:p w14:paraId="7F16CB30">
            <w:pPr>
              <w:widowControl/>
              <w:spacing w:beforeLines="0" w:afterLines="0" w:line="240" w:lineRule="exac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（十三）其他不符合法律、法规或者食品安全标准的食品、食品添加剂、食品相关产品。</w:t>
            </w:r>
          </w:p>
        </w:tc>
        <w:tc>
          <w:tcPr>
            <w:tcW w:w="4766" w:type="dxa"/>
            <w:tcBorders>
              <w:top w:val="nil"/>
              <w:left w:val="nil"/>
              <w:bottom w:val="single" w:color="auto" w:sz="4" w:space="0"/>
              <w:right w:val="single" w:color="auto" w:sz="4" w:space="0"/>
              <w:tl2br w:val="nil"/>
              <w:tr2bl w:val="nil"/>
            </w:tcBorders>
            <w:noWrap w:val="0"/>
            <w:vAlign w:val="center"/>
          </w:tcPr>
          <w:p w14:paraId="3D7D923F">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《食用农产品市场销售质量安全监督管理办法》第十五条第一款 </w:t>
            </w:r>
            <w:r>
              <w:rPr>
                <w:rFonts w:hint="eastAsia" w:ascii="Times New Roman" w:hAnsi="Times New Roman" w:eastAsia="方正仿宋_GBK"/>
                <w:kern w:val="0"/>
                <w:sz w:val="21"/>
                <w:szCs w:val="24"/>
              </w:rPr>
              <w:t>禁止销售者采购、销售食品安全法第三十四条规定情形的食用农产品。</w:t>
            </w:r>
          </w:p>
          <w:p w14:paraId="4C670FF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《食用农产品市场销售质量安全监督管理办法》第四十二条 </w:t>
            </w:r>
            <w:r>
              <w:rPr>
                <w:rFonts w:hint="eastAsia" w:ascii="Times New Roman" w:hAnsi="Times New Roman" w:eastAsia="方正仿宋_GBK"/>
                <w:kern w:val="0"/>
                <w:sz w:val="21"/>
                <w:szCs w:val="24"/>
              </w:rPr>
              <w:t>销售者违反本办法第十五条规定，采购、销售食品安全法第三十四条规定情形的食用农产品的，由县级以上市场监督管理部门依照食品安全法有关规定给予处罚。</w:t>
            </w:r>
          </w:p>
          <w:p w14:paraId="568F817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《食用农产品市场销售质量安全监督管理办法》第四十八条 </w:t>
            </w:r>
            <w:r>
              <w:rPr>
                <w:rFonts w:hint="eastAsia" w:ascii="Times New Roman" w:hAnsi="Times New Roman" w:eastAsia="方正仿宋_GBK"/>
                <w:kern w:val="0"/>
                <w:sz w:val="21"/>
                <w:szCs w:val="24"/>
              </w:rPr>
              <w:t>销售者履行了本办法规定的食用农产品进货查验等义务，有充分证据证明其不知道所采购的食用农产品不符合食品安全标准，并能如实说明其进货来源的，可以免予处罚，但应当依法没收</w:t>
            </w:r>
          </w:p>
          <w:p w14:paraId="27340C5D">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其不符合食品安全标准的食用农产品；造成人身、财产或者其他损害的，依法承担赔偿责任。</w:t>
            </w:r>
          </w:p>
        </w:tc>
      </w:tr>
      <w:tr w14:paraId="0F52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4FA6D">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1AF42997">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50</w:t>
            </w:r>
          </w:p>
        </w:tc>
        <w:tc>
          <w:tcPr>
            <w:tcW w:w="1712" w:type="dxa"/>
            <w:tcBorders>
              <w:top w:val="nil"/>
              <w:left w:val="nil"/>
              <w:bottom w:val="single" w:color="auto" w:sz="4" w:space="0"/>
              <w:right w:val="single" w:color="auto" w:sz="4" w:space="0"/>
              <w:tl2br w:val="nil"/>
              <w:tr2bl w:val="nil"/>
            </w:tcBorders>
            <w:noWrap w:val="0"/>
            <w:vAlign w:val="center"/>
          </w:tcPr>
          <w:p w14:paraId="14758F2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经营超过保质期的食品、食品添加剂</w:t>
            </w:r>
          </w:p>
        </w:tc>
        <w:tc>
          <w:tcPr>
            <w:tcW w:w="2421" w:type="dxa"/>
            <w:tcBorders>
              <w:top w:val="nil"/>
              <w:left w:val="nil"/>
              <w:bottom w:val="single" w:color="auto" w:sz="4" w:space="0"/>
              <w:right w:val="single" w:color="auto" w:sz="4" w:space="0"/>
              <w:tl2br w:val="nil"/>
              <w:tr2bl w:val="nil"/>
            </w:tcBorders>
            <w:noWrap w:val="0"/>
            <w:vAlign w:val="center"/>
          </w:tcPr>
          <w:p w14:paraId="729518BB">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3BA89DFB">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首违不罚须同时具备以下条件：</w:t>
            </w:r>
          </w:p>
          <w:p w14:paraId="0C3FD207">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270E18CC">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不包括餐饮环节；</w:t>
            </w:r>
          </w:p>
          <w:p w14:paraId="644961BD">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能如实说明进货来源；</w:t>
            </w:r>
          </w:p>
          <w:p w14:paraId="5C0D1216">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违法货值金额不超过 500元；</w:t>
            </w:r>
          </w:p>
          <w:p w14:paraId="4ABD327C">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未发生食品安全事故或未发生食源性疾病；</w:t>
            </w:r>
          </w:p>
          <w:p w14:paraId="6C6E19A5">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p w14:paraId="7D5AE191">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轻微违法不予处罚须同时具备以下条件：</w:t>
            </w:r>
          </w:p>
          <w:p w14:paraId="3193737A">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能如实说明进货来源；</w:t>
            </w:r>
          </w:p>
          <w:p w14:paraId="10C762E1">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违法货值金额不超过 500元，且食品未售出；</w:t>
            </w:r>
          </w:p>
          <w:p w14:paraId="161AD33C">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未发生食品安全事故或未发生食源性疾病；</w:t>
            </w:r>
          </w:p>
          <w:p w14:paraId="5D90F96A">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p w14:paraId="0AD6A969">
            <w:pPr>
              <w:keepNext w:val="0"/>
              <w:keepLines w:val="0"/>
              <w:pageBreakBefore w:val="0"/>
              <w:widowControl/>
              <w:kinsoku/>
              <w:wordWrap/>
              <w:overflowPunct/>
              <w:topLinePunct w:val="0"/>
              <w:autoSpaceDE/>
              <w:autoSpaceDN/>
              <w:bidi w:val="0"/>
              <w:adjustRightInd w:val="0"/>
              <w:snapToGrid w:val="0"/>
              <w:spacing w:beforeLines="0" w:afterLines="0" w:line="29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食品经营者在两年内第三次出现本类型违法行为的，不予免罚。</w:t>
            </w:r>
          </w:p>
        </w:tc>
        <w:tc>
          <w:tcPr>
            <w:tcW w:w="4771" w:type="dxa"/>
            <w:tcBorders>
              <w:top w:val="nil"/>
              <w:left w:val="nil"/>
              <w:bottom w:val="single" w:color="auto" w:sz="4" w:space="0"/>
              <w:right w:val="single" w:color="auto" w:sz="4" w:space="0"/>
              <w:tl2br w:val="nil"/>
              <w:tr2bl w:val="nil"/>
            </w:tcBorders>
            <w:noWrap w:val="0"/>
            <w:vAlign w:val="center"/>
          </w:tcPr>
          <w:p w14:paraId="23CFD581">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《食品安全法》第三十四条第十项 </w:t>
            </w:r>
            <w:r>
              <w:rPr>
                <w:rFonts w:hint="eastAsia" w:ascii="Times New Roman" w:hAnsi="Times New Roman" w:eastAsia="方正仿宋_GBK"/>
                <w:kern w:val="0"/>
                <w:sz w:val="21"/>
                <w:szCs w:val="24"/>
              </w:rPr>
              <w:t>禁止生产经营下列食品、食品添加剂、食品相关产品：（十）标注虚假生产日期、保质期或者超过保质期的食品、食品添加剂。</w:t>
            </w:r>
          </w:p>
        </w:tc>
        <w:tc>
          <w:tcPr>
            <w:tcW w:w="4766" w:type="dxa"/>
            <w:tcBorders>
              <w:top w:val="nil"/>
              <w:left w:val="nil"/>
              <w:bottom w:val="single" w:color="auto" w:sz="4" w:space="0"/>
              <w:right w:val="single" w:color="auto" w:sz="4" w:space="0"/>
              <w:tl2br w:val="nil"/>
              <w:tr2bl w:val="nil"/>
            </w:tcBorders>
            <w:noWrap w:val="0"/>
            <w:vAlign w:val="center"/>
          </w:tcPr>
          <w:p w14:paraId="3D148B3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《食品安全法》第一百二十四条第一款第五项</w:t>
            </w:r>
            <w:r>
              <w:rPr>
                <w:rFonts w:hint="eastAsia" w:ascii="Times New Roman" w:hAnsi="Times New Roman" w:eastAsia="方正仿宋_GBK"/>
                <w:kern w:val="0"/>
                <w:sz w:val="21"/>
                <w:szCs w:val="24"/>
              </w:rPr>
              <w:t xml:space="preserve">  违反本法规定，有下列情形之一，尚不构成犯罪的，由县级以上人民政府食品安全监督管理部门没收违法所得和违法生产经营的食品、食品添加剂，并可以没收用于违法生产经营的工具、</w:t>
            </w:r>
          </w:p>
          <w:p w14:paraId="0EF6E46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r>
      <w:tr w14:paraId="6909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7"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05D3A255">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27A6B081">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51</w:t>
            </w:r>
          </w:p>
        </w:tc>
        <w:tc>
          <w:tcPr>
            <w:tcW w:w="1712" w:type="dxa"/>
            <w:tcBorders>
              <w:top w:val="nil"/>
              <w:left w:val="nil"/>
              <w:bottom w:val="single" w:color="auto" w:sz="4" w:space="0"/>
              <w:right w:val="single" w:color="auto" w:sz="4" w:space="0"/>
              <w:tl2br w:val="nil"/>
              <w:tr2bl w:val="nil"/>
            </w:tcBorders>
            <w:noWrap w:val="0"/>
            <w:vAlign w:val="center"/>
          </w:tcPr>
          <w:p w14:paraId="4664CC3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经营用超过保质期的食品原料、食品添加剂生产的食品、食品添加剂</w:t>
            </w:r>
          </w:p>
        </w:tc>
        <w:tc>
          <w:tcPr>
            <w:tcW w:w="2421" w:type="dxa"/>
            <w:tcBorders>
              <w:top w:val="nil"/>
              <w:left w:val="nil"/>
              <w:bottom w:val="single" w:color="auto" w:sz="4" w:space="0"/>
              <w:right w:val="single" w:color="auto" w:sz="4" w:space="0"/>
              <w:tl2br w:val="nil"/>
              <w:tr2bl w:val="nil"/>
            </w:tcBorders>
            <w:noWrap w:val="0"/>
            <w:vAlign w:val="center"/>
          </w:tcPr>
          <w:p w14:paraId="7FB7781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同时具备以下条件，免予罚款：</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已履行进货查验等义务且如实说明进货来源；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无法通过感官手段发现，不知道超过保质期；</w:t>
            </w:r>
          </w:p>
          <w:p w14:paraId="19346E9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30E419BB">
            <w:pPr>
              <w:widowControl/>
              <w:spacing w:beforeLines="0" w:afterLines="0" w:line="300" w:lineRule="exac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105D6FFF">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《食品安全法》第三十四条第三项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禁止生产经营下列食品、食品添加剂、食品相关产品：（三）用超过保质期的食品原料、食品添加剂生产的食品、食品添加剂；</w:t>
            </w:r>
          </w:p>
        </w:tc>
        <w:tc>
          <w:tcPr>
            <w:tcW w:w="4766" w:type="dxa"/>
            <w:tcBorders>
              <w:top w:val="nil"/>
              <w:left w:val="nil"/>
              <w:bottom w:val="single" w:color="auto" w:sz="4" w:space="0"/>
              <w:right w:val="single" w:color="auto" w:sz="4" w:space="0"/>
              <w:tl2br w:val="nil"/>
              <w:tr2bl w:val="nil"/>
            </w:tcBorders>
            <w:noWrap w:val="0"/>
            <w:vAlign w:val="center"/>
          </w:tcPr>
          <w:p w14:paraId="6A86B80A">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w:t>
            </w:r>
          </w:p>
        </w:tc>
      </w:tr>
      <w:tr w14:paraId="6381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9"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0D0D6E0E">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8C46C86">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52</w:t>
            </w:r>
          </w:p>
        </w:tc>
        <w:tc>
          <w:tcPr>
            <w:tcW w:w="1712" w:type="dxa"/>
            <w:tcBorders>
              <w:top w:val="nil"/>
              <w:left w:val="nil"/>
              <w:bottom w:val="single" w:color="auto" w:sz="4" w:space="0"/>
              <w:right w:val="single" w:color="auto" w:sz="4" w:space="0"/>
              <w:tl2br w:val="nil"/>
              <w:tr2bl w:val="nil"/>
            </w:tcBorders>
            <w:noWrap w:val="0"/>
            <w:vAlign w:val="center"/>
          </w:tcPr>
          <w:p w14:paraId="10BABFD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食品经营者销售混有异物的食品</w:t>
            </w:r>
          </w:p>
        </w:tc>
        <w:tc>
          <w:tcPr>
            <w:tcW w:w="2421" w:type="dxa"/>
            <w:tcBorders>
              <w:top w:val="nil"/>
              <w:left w:val="nil"/>
              <w:bottom w:val="single" w:color="auto" w:sz="4" w:space="0"/>
              <w:right w:val="single" w:color="auto" w:sz="4" w:space="0"/>
              <w:tl2br w:val="nil"/>
              <w:tr2bl w:val="nil"/>
            </w:tcBorders>
            <w:noWrap w:val="0"/>
            <w:vAlign w:val="center"/>
          </w:tcPr>
          <w:p w14:paraId="4575330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87B4C2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混有的异物较少，难以发现；</w:t>
            </w:r>
          </w:p>
          <w:p w14:paraId="709EB489">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非直接入口食品；</w:t>
            </w:r>
          </w:p>
          <w:p w14:paraId="0FA7F7C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不影响食品安全；</w:t>
            </w:r>
          </w:p>
          <w:p w14:paraId="0903900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4177145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《食品安全法》第三十四条第六项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禁止生产经营下列食品、食品添加剂、食品相关产品：（六）腐败变质、油脂酸败、霉变生虫、污秽不洁、混有异物、掺假掺杂或者感官性状异常的食品、食品添加剂。</w:t>
            </w:r>
          </w:p>
          <w:p w14:paraId="1C3C44E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《食用农产品市场销售质量安全监督管理办法》第十五条第一款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禁止销售者采购、销售食品安全法第三十四条规定情形的食用农产品。</w:t>
            </w:r>
          </w:p>
        </w:tc>
        <w:tc>
          <w:tcPr>
            <w:tcW w:w="4766" w:type="dxa"/>
            <w:tcBorders>
              <w:top w:val="nil"/>
              <w:left w:val="nil"/>
              <w:bottom w:val="single" w:color="auto" w:sz="4" w:space="0"/>
              <w:right w:val="single" w:color="auto" w:sz="4" w:space="0"/>
              <w:tl2br w:val="nil"/>
              <w:tr2bl w:val="nil"/>
            </w:tcBorders>
            <w:noWrap w:val="0"/>
            <w:vAlign w:val="center"/>
          </w:tcPr>
          <w:p w14:paraId="7A11A03A">
            <w:pPr>
              <w:keepNext w:val="0"/>
              <w:keepLines w:val="0"/>
              <w:pageBreakBefore w:val="0"/>
              <w:widowControl/>
              <w:kinsoku/>
              <w:wordWrap/>
              <w:overflowPunct/>
              <w:topLinePunct w:val="0"/>
              <w:autoSpaceDE/>
              <w:autoSpaceDN/>
              <w:bidi w:val="0"/>
              <w:adjustRightInd w:val="0"/>
              <w:snapToGrid w:val="0"/>
              <w:spacing w:beforeLines="0" w:afterLines="0" w:line="27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w:t>
            </w:r>
          </w:p>
          <w:p w14:paraId="67E74B0B">
            <w:pPr>
              <w:keepNext w:val="0"/>
              <w:keepLines w:val="0"/>
              <w:pageBreakBefore w:val="0"/>
              <w:widowControl/>
              <w:kinsoku/>
              <w:wordWrap/>
              <w:overflowPunct/>
              <w:topLinePunct w:val="0"/>
              <w:autoSpaceDE/>
              <w:autoSpaceDN/>
              <w:bidi w:val="0"/>
              <w:adjustRightInd w:val="0"/>
              <w:snapToGrid w:val="0"/>
              <w:spacing w:beforeLines="0" w:afterLines="0" w:line="27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《食用农产品市场销售质量安全监督管理办法》第四十二条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销售者违反本办法第十五条规定，采购、销售食品安全法第三十四条规定情形的食用农产品的，由县级以上市场监督管理部门依照食品安全法有关规定给予处罚。</w:t>
            </w:r>
          </w:p>
        </w:tc>
      </w:tr>
      <w:tr w14:paraId="70A1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988F1">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4C1BA377">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53</w:t>
            </w:r>
          </w:p>
        </w:tc>
        <w:tc>
          <w:tcPr>
            <w:tcW w:w="1712" w:type="dxa"/>
            <w:tcBorders>
              <w:top w:val="nil"/>
              <w:left w:val="nil"/>
              <w:bottom w:val="single" w:color="auto" w:sz="4" w:space="0"/>
              <w:right w:val="single" w:color="auto" w:sz="4" w:space="0"/>
              <w:tl2br w:val="nil"/>
              <w:tr2bl w:val="nil"/>
            </w:tcBorders>
            <w:noWrap w:val="0"/>
            <w:vAlign w:val="center"/>
          </w:tcPr>
          <w:p w14:paraId="0B0951F1">
            <w:pPr>
              <w:widowControl/>
              <w:spacing w:beforeLines="0" w:afterLines="0" w:line="300" w:lineRule="exact"/>
              <w:rPr>
                <w:rFonts w:hint="default" w:ascii="Times New Roman" w:hAnsi="Times New Roman" w:eastAsia="方正仿宋_GBK"/>
                <w:kern w:val="0"/>
                <w:sz w:val="21"/>
                <w:szCs w:val="24"/>
                <w:highlight w:val="yellow"/>
              </w:rPr>
            </w:pPr>
            <w:r>
              <w:rPr>
                <w:rFonts w:hint="eastAsia" w:ascii="Times New Roman" w:hAnsi="Times New Roman" w:eastAsia="方正仿宋_GBK"/>
                <w:kern w:val="0"/>
                <w:sz w:val="21"/>
                <w:szCs w:val="24"/>
              </w:rPr>
              <w:t>食品经营许可证载明的许可事项发生变化，食品经营者未按照规定申请变更</w:t>
            </w:r>
          </w:p>
        </w:tc>
        <w:tc>
          <w:tcPr>
            <w:tcW w:w="2421" w:type="dxa"/>
            <w:tcBorders>
              <w:top w:val="nil"/>
              <w:left w:val="nil"/>
              <w:bottom w:val="single" w:color="auto" w:sz="4" w:space="0"/>
              <w:right w:val="single" w:color="auto" w:sz="4" w:space="0"/>
              <w:tl2br w:val="nil"/>
              <w:tr2bl w:val="nil"/>
            </w:tcBorders>
            <w:noWrap w:val="0"/>
            <w:vAlign w:val="center"/>
          </w:tcPr>
          <w:p w14:paraId="5FE3244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51856BD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A62FCB7">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p>
          <w:p w14:paraId="6A1CF64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符合《食品经营许可和备案管理办法》第五十二条第三款规定其中之一的；</w:t>
            </w:r>
          </w:p>
          <w:p w14:paraId="7D427CE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违法行为持续时间较短或者案涉食品货值较小；</w:t>
            </w:r>
          </w:p>
          <w:p w14:paraId="5BE876C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及时终止违法行为或者及时取得变更许可。</w:t>
            </w:r>
          </w:p>
          <w:p w14:paraId="0F19C5E8">
            <w:pPr>
              <w:widowControl/>
              <w:spacing w:beforeLines="0" w:afterLines="0" w:line="300" w:lineRule="exac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0CA781C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2BC213B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《网络食品安全违法行为查处办法》第十六条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入网食品生产经营者应当依法取得许可，入网食品生产者应当按照许可的类别范围销售食品，入网食品经营者应当按照许可的经营项目范围从事食品经营。法律、法规规定不需要取得食品生产经营许可的除外。</w:t>
            </w:r>
          </w:p>
          <w:p w14:paraId="13548FD9">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取得食品生产许可的食品生产者，通过网络销售其生产的食品，不需要取得食品经营许可。取得食品经营许可的食品经营者通过网络销售其制作加工的食品，不需要取得食品生产许可。</w:t>
            </w:r>
          </w:p>
          <w:p w14:paraId="5B4251B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《食品经营许可和备案管理办法》第二十九条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tc>
        <w:tc>
          <w:tcPr>
            <w:tcW w:w="4766" w:type="dxa"/>
            <w:tcBorders>
              <w:top w:val="nil"/>
              <w:left w:val="nil"/>
              <w:bottom w:val="single" w:color="auto" w:sz="4" w:space="0"/>
              <w:right w:val="single" w:color="auto" w:sz="4" w:space="0"/>
              <w:tl2br w:val="nil"/>
              <w:tr2bl w:val="nil"/>
            </w:tcBorders>
            <w:noWrap w:val="0"/>
            <w:vAlign w:val="center"/>
          </w:tcPr>
          <w:p w14:paraId="0D943394">
            <w:pPr>
              <w:keepNext w:val="0"/>
              <w:keepLines w:val="0"/>
              <w:pageBreakBefore w:val="0"/>
              <w:widowControl/>
              <w:kinsoku/>
              <w:wordWrap/>
              <w:overflowPunct/>
              <w:topLinePunct w:val="0"/>
              <w:autoSpaceDE/>
              <w:autoSpaceDN/>
              <w:bidi w:val="0"/>
              <w:adjustRightInd w:val="0"/>
              <w:snapToGrid w:val="0"/>
              <w:spacing w:beforeLines="0" w:afterLines="0" w:line="25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B1EC480">
            <w:pPr>
              <w:keepNext w:val="0"/>
              <w:keepLines w:val="0"/>
              <w:pageBreakBefore w:val="0"/>
              <w:widowControl/>
              <w:kinsoku/>
              <w:wordWrap/>
              <w:overflowPunct/>
              <w:topLinePunct w:val="0"/>
              <w:autoSpaceDE/>
              <w:autoSpaceDN/>
              <w:bidi w:val="0"/>
              <w:adjustRightInd w:val="0"/>
              <w:snapToGrid w:val="0"/>
              <w:spacing w:beforeLines="0" w:afterLines="0" w:line="25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《网络食品安全违法行为查处办法》第三十八条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p w14:paraId="4E846B29">
            <w:pPr>
              <w:keepNext w:val="0"/>
              <w:keepLines w:val="0"/>
              <w:pageBreakBefore w:val="0"/>
              <w:widowControl/>
              <w:kinsoku/>
              <w:wordWrap/>
              <w:overflowPunct/>
              <w:topLinePunct w:val="0"/>
              <w:autoSpaceDE/>
              <w:autoSpaceDN/>
              <w:bidi w:val="0"/>
              <w:adjustRightInd w:val="0"/>
              <w:snapToGrid w:val="0"/>
              <w:spacing w:beforeLines="0" w:afterLines="0" w:line="25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《食品经营许可和备案管理办法》第五十二条第三款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一）主体业态、经营项目发生变化，但食品安全风险等级未升高的；（二）增加经营项目类型，但增加的经营项目所需的经营条件被已经取得许可的经营项目涵盖的；（三）违法行为轻微，未对消费者人身健康和生命安全等造成危害后果的；（四）法律、法规、规章规定的其他情形。</w:t>
            </w:r>
          </w:p>
        </w:tc>
      </w:tr>
      <w:tr w14:paraId="4F02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71B58F99">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3903D78">
            <w:pPr>
              <w:widowControl/>
              <w:spacing w:beforeLines="0" w:afterLines="0" w:line="32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54</w:t>
            </w:r>
          </w:p>
        </w:tc>
        <w:tc>
          <w:tcPr>
            <w:tcW w:w="1712" w:type="dxa"/>
            <w:tcBorders>
              <w:top w:val="nil"/>
              <w:left w:val="nil"/>
              <w:bottom w:val="single" w:color="auto" w:sz="4" w:space="0"/>
              <w:right w:val="single" w:color="auto" w:sz="4" w:space="0"/>
              <w:tl2br w:val="nil"/>
              <w:tr2bl w:val="nil"/>
            </w:tcBorders>
            <w:noWrap w:val="0"/>
            <w:vAlign w:val="center"/>
          </w:tcPr>
          <w:p w14:paraId="3F966D0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餐饮业经营者经营添加未列入药食同源目录的中药材的食品</w:t>
            </w:r>
          </w:p>
        </w:tc>
        <w:tc>
          <w:tcPr>
            <w:tcW w:w="2421" w:type="dxa"/>
            <w:tcBorders>
              <w:top w:val="nil"/>
              <w:left w:val="nil"/>
              <w:bottom w:val="single" w:color="auto" w:sz="4" w:space="0"/>
              <w:right w:val="single" w:color="auto" w:sz="4" w:space="0"/>
              <w:tl2br w:val="nil"/>
              <w:tr2bl w:val="nil"/>
            </w:tcBorders>
            <w:noWrap w:val="0"/>
            <w:vAlign w:val="center"/>
          </w:tcPr>
          <w:p w14:paraId="7FB4C31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6AA9CBC">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05AE881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有食用该中药材的传统习惯且未造成人身损害；</w:t>
            </w:r>
          </w:p>
          <w:p w14:paraId="4A97033B">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未强调其药品属性，未宣称功能主治、用法用量等相关内容；</w:t>
            </w:r>
          </w:p>
          <w:p w14:paraId="387318B0">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32C6B48">
            <w:pPr>
              <w:widowControl/>
              <w:spacing w:beforeLines="0" w:afterLines="0" w:line="300" w:lineRule="exact"/>
              <w:rPr>
                <w:rFonts w:hint="default" w:ascii="Times New Roman" w:hAnsi="Times New Roman" w:eastAsia="方正仿宋_GBK"/>
                <w:kern w:val="0"/>
                <w:sz w:val="21"/>
                <w:szCs w:val="24"/>
                <w:highlight w:val="yellow"/>
              </w:rPr>
            </w:pPr>
            <w:r>
              <w:rPr>
                <w:rFonts w:hint="eastAsia" w:ascii="Times New Roman" w:hAnsi="Times New Roman" w:eastAsia="方正仿宋_GBK"/>
                <w:b/>
                <w:kern w:val="0"/>
                <w:sz w:val="21"/>
                <w:szCs w:val="24"/>
              </w:rPr>
              <w:t>《食品安全法》第三十八条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生产经营的食品中不得添加药品，但是可以添加按照传统既是食品又是中药材的物质。按照传统既是食品又是中药材的物质目录由国务院卫生行政部门会同国务院食品药品监督管理部门制定、公布。</w:t>
            </w:r>
          </w:p>
        </w:tc>
        <w:tc>
          <w:tcPr>
            <w:tcW w:w="4766" w:type="dxa"/>
            <w:tcBorders>
              <w:top w:val="nil"/>
              <w:left w:val="nil"/>
              <w:bottom w:val="single" w:color="auto" w:sz="4" w:space="0"/>
              <w:right w:val="single" w:color="auto" w:sz="4" w:space="0"/>
              <w:tl2br w:val="nil"/>
              <w:tr2bl w:val="nil"/>
            </w:tcBorders>
            <w:noWrap w:val="0"/>
            <w:vAlign w:val="center"/>
          </w:tcPr>
          <w:p w14:paraId="0058C31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《食品安全法》第一百二十三条第一款第六项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tc>
      </w:tr>
      <w:tr w14:paraId="66E6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603A8271">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22C2FDE">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55</w:t>
            </w:r>
          </w:p>
        </w:tc>
        <w:tc>
          <w:tcPr>
            <w:tcW w:w="1712" w:type="dxa"/>
            <w:tcBorders>
              <w:top w:val="nil"/>
              <w:left w:val="nil"/>
              <w:bottom w:val="single" w:color="auto" w:sz="4" w:space="0"/>
              <w:right w:val="single" w:color="auto" w:sz="4" w:space="0"/>
              <w:tl2br w:val="nil"/>
              <w:tr2bl w:val="nil"/>
            </w:tcBorders>
            <w:noWrap w:val="0"/>
            <w:vAlign w:val="center"/>
          </w:tcPr>
          <w:p w14:paraId="361EBAA0">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生产经营的食品、食品添加剂的标签、说明书</w:t>
            </w:r>
            <w:r>
              <w:rPr>
                <w:rFonts w:hint="eastAsia" w:ascii="Times New Roman" w:hAnsi="Times New Roman" w:eastAsia="方正仿宋_GBK"/>
                <w:sz w:val="21"/>
                <w:szCs w:val="24"/>
              </w:rPr>
              <w:t>存在瑕疵</w:t>
            </w:r>
          </w:p>
        </w:tc>
        <w:tc>
          <w:tcPr>
            <w:tcW w:w="2421" w:type="dxa"/>
            <w:tcBorders>
              <w:top w:val="nil"/>
              <w:left w:val="nil"/>
              <w:bottom w:val="single" w:color="auto" w:sz="4" w:space="0"/>
              <w:right w:val="single" w:color="auto" w:sz="4" w:space="0"/>
              <w:tl2br w:val="nil"/>
              <w:tr2bl w:val="nil"/>
            </w:tcBorders>
            <w:noWrap w:val="0"/>
            <w:vAlign w:val="center"/>
          </w:tcPr>
          <w:p w14:paraId="43856C09">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不影响食品安全；</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没有对消费者造成误导；</w:t>
            </w:r>
          </w:p>
          <w:p w14:paraId="547694BD">
            <w:pPr>
              <w:widowControl/>
              <w:spacing w:beforeLines="0" w:afterLines="0" w:line="26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4FD2FCE5">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《食品安全法》第六十七条第一、二款</w:t>
            </w:r>
            <w:r>
              <w:rPr>
                <w:rFonts w:hint="eastAsia" w:ascii="Times New Roman" w:hAnsi="Times New Roman" w:eastAsia="方正仿宋_GBK"/>
                <w:kern w:val="0"/>
                <w:sz w:val="21"/>
                <w:szCs w:val="24"/>
              </w:rPr>
              <w:t xml:space="preserve">　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专供婴幼儿和其他特定人群的主辅食品，其标签还应当标明主要营养成分及其含量。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default" w:ascii="Times New Roman" w:hAnsi="Times New Roman" w:eastAsia="方正仿宋_GBK"/>
                <w:b/>
                <w:kern w:val="0"/>
                <w:sz w:val="21"/>
                <w:szCs w:val="24"/>
              </w:rPr>
              <w:t xml:space="preserve"> </w:t>
            </w:r>
            <w:r>
              <w:rPr>
                <w:rFonts w:hint="eastAsia" w:ascii="Times New Roman" w:hAnsi="Times New Roman" w:eastAsia="方正仿宋_GBK"/>
                <w:b/>
                <w:kern w:val="0"/>
                <w:sz w:val="21"/>
                <w:szCs w:val="24"/>
              </w:rPr>
              <w:t xml:space="preserve">第七十一条第二、三款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食品和食品添加剂的标签、说明书应当清楚、明显，生产日期、保质期等事项应当显著标注，容易辨识。</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　　食品和食品添加剂与其标签、说明书的内容不符的，不得上市销售。</w:t>
            </w:r>
            <w:r>
              <w:rPr>
                <w:rFonts w:hint="default" w:ascii="Times New Roman" w:hAnsi="Times New Roman" w:eastAsia="方正仿宋_GBK"/>
                <w:kern w:val="0"/>
                <w:sz w:val="21"/>
                <w:szCs w:val="24"/>
              </w:rPr>
              <w:br w:type="textWrapping"/>
            </w:r>
            <w:r>
              <w:rPr>
                <w:rFonts w:hint="default" w:ascii="Times New Roman" w:hAnsi="Times New Roman" w:eastAsia="方正仿宋_GBK"/>
                <w:b/>
                <w:kern w:val="0"/>
                <w:sz w:val="21"/>
                <w:szCs w:val="24"/>
              </w:rPr>
              <w:t xml:space="preserve">    </w:t>
            </w:r>
            <w:r>
              <w:rPr>
                <w:rFonts w:hint="eastAsia" w:ascii="Times New Roman" w:hAnsi="Times New Roman" w:eastAsia="方正仿宋_GBK"/>
                <w:b/>
                <w:kern w:val="0"/>
                <w:sz w:val="21"/>
                <w:szCs w:val="24"/>
              </w:rPr>
              <w:t>第七十条、第七十八条、第九十七条。（略）</w:t>
            </w:r>
          </w:p>
        </w:tc>
        <w:tc>
          <w:tcPr>
            <w:tcW w:w="4766" w:type="dxa"/>
            <w:tcBorders>
              <w:top w:val="nil"/>
              <w:left w:val="nil"/>
              <w:bottom w:val="single" w:color="auto" w:sz="4" w:space="0"/>
              <w:right w:val="single" w:color="auto" w:sz="4" w:space="0"/>
              <w:tl2br w:val="nil"/>
              <w:tr2bl w:val="nil"/>
            </w:tcBorders>
            <w:noWrap w:val="0"/>
            <w:vAlign w:val="center"/>
          </w:tcPr>
          <w:p w14:paraId="2EA58761">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《食品安全法》第一百二十五条第一款第二项 </w:t>
            </w:r>
            <w:r>
              <w:rPr>
                <w:rFonts w:hint="eastAsia" w:ascii="Times New Roman" w:hAnsi="Times New Roman" w:eastAsia="方正仿宋_GBK"/>
                <w:kern w:val="0"/>
                <w:sz w:val="21"/>
                <w:szCs w:val="24"/>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 xml:space="preserve">第一百二十五条第二款  </w:t>
            </w:r>
            <w:r>
              <w:rPr>
                <w:rFonts w:hint="eastAsia" w:ascii="Times New Roman" w:hAnsi="Times New Roman" w:eastAsia="方正仿宋_GBK"/>
                <w:kern w:val="0"/>
                <w:sz w:val="21"/>
                <w:szCs w:val="24"/>
              </w:rPr>
              <w:t>生产经营的食品、食品添加剂的标签、说明书存在瑕疵但不影响食品安全且不会对消费者造成误导的，由县级以上人民政府食品安全监督管理部门责令改正；拒不改正的，处二千元以下罚款。</w:t>
            </w:r>
          </w:p>
        </w:tc>
      </w:tr>
      <w:tr w14:paraId="59AB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723397A8">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33973A2">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56</w:t>
            </w:r>
          </w:p>
        </w:tc>
        <w:tc>
          <w:tcPr>
            <w:tcW w:w="1712" w:type="dxa"/>
            <w:tcBorders>
              <w:top w:val="nil"/>
              <w:left w:val="nil"/>
              <w:bottom w:val="single" w:color="auto" w:sz="4" w:space="0"/>
              <w:right w:val="single" w:color="auto" w:sz="4" w:space="0"/>
              <w:tl2br w:val="nil"/>
              <w:tr2bl w:val="nil"/>
            </w:tcBorders>
            <w:noWrap w:val="0"/>
            <w:vAlign w:val="center"/>
          </w:tcPr>
          <w:p w14:paraId="58EE60B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未按要求进行食品贮存、运输和装卸</w:t>
            </w:r>
          </w:p>
        </w:tc>
        <w:tc>
          <w:tcPr>
            <w:tcW w:w="2421" w:type="dxa"/>
            <w:tcBorders>
              <w:top w:val="nil"/>
              <w:left w:val="nil"/>
              <w:bottom w:val="single" w:color="auto" w:sz="4" w:space="0"/>
              <w:right w:val="single" w:color="auto" w:sz="4" w:space="0"/>
              <w:tl2br w:val="nil"/>
              <w:tr2bl w:val="nil"/>
            </w:tcBorders>
            <w:noWrap w:val="0"/>
            <w:vAlign w:val="center"/>
          </w:tcPr>
          <w:p w14:paraId="6DF6ABA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未与有毒、有害物品一同贮存、运输；</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不影响食品安全；</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6B0C5EA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《食品安全法》第三十三条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非食品生产经营者从事食品贮存、运输和装卸的，应当符合前款第六项的规定。</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第五十四条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经营者应当按照保证食品安全的要求贮存食品，定期检查库存食品，及时清理变质或者超过保质期的食品。食品经营者贮存散装食品，应当在贮存位置标明食品的名称、生产日期或者生产批号、保质期、生产者名称及联系方式等内容。</w:t>
            </w:r>
          </w:p>
        </w:tc>
        <w:tc>
          <w:tcPr>
            <w:tcW w:w="4766" w:type="dxa"/>
            <w:tcBorders>
              <w:top w:val="nil"/>
              <w:left w:val="nil"/>
              <w:bottom w:val="single" w:color="auto" w:sz="4" w:space="0"/>
              <w:right w:val="single" w:color="auto" w:sz="4" w:space="0"/>
              <w:tl2br w:val="nil"/>
              <w:tr2bl w:val="nil"/>
            </w:tcBorders>
            <w:noWrap w:val="0"/>
            <w:vAlign w:val="center"/>
          </w:tcPr>
          <w:p w14:paraId="3868B77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《食品安全法》第一百三十二条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r>
      <w:tr w14:paraId="51F7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7B0C0E13">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93C5ADF">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57</w:t>
            </w:r>
          </w:p>
        </w:tc>
        <w:tc>
          <w:tcPr>
            <w:tcW w:w="1712" w:type="dxa"/>
            <w:tcBorders>
              <w:top w:val="nil"/>
              <w:left w:val="nil"/>
              <w:bottom w:val="single" w:color="auto" w:sz="4" w:space="0"/>
              <w:right w:val="single" w:color="auto" w:sz="4" w:space="0"/>
              <w:tl2br w:val="nil"/>
              <w:tr2bl w:val="nil"/>
            </w:tcBorders>
            <w:noWrap w:val="0"/>
            <w:vAlign w:val="center"/>
          </w:tcPr>
          <w:p w14:paraId="2BE36A2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未取得食品经营许可从事散装食品经营活动（散装熟食销售除外）</w:t>
            </w:r>
          </w:p>
        </w:tc>
        <w:tc>
          <w:tcPr>
            <w:tcW w:w="2421" w:type="dxa"/>
            <w:tcBorders>
              <w:top w:val="nil"/>
              <w:left w:val="nil"/>
              <w:bottom w:val="single" w:color="auto" w:sz="4" w:space="0"/>
              <w:right w:val="single" w:color="auto" w:sz="4" w:space="0"/>
              <w:tl2br w:val="nil"/>
              <w:tr2bl w:val="nil"/>
            </w:tcBorders>
            <w:noWrap w:val="0"/>
            <w:vAlign w:val="center"/>
          </w:tcPr>
          <w:p w14:paraId="11949FF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5ADC62E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21B668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1527C4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p w14:paraId="1B90A3E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未发生食品安全事故。</w:t>
            </w:r>
          </w:p>
          <w:p w14:paraId="013E86A0">
            <w:pPr>
              <w:widowControl/>
              <w:spacing w:beforeLines="0" w:afterLines="0" w:line="300" w:lineRule="exac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0C9C0E46">
            <w:pPr>
              <w:widowControl/>
              <w:spacing w:beforeLines="0" w:afterLines="0" w:line="300" w:lineRule="exact"/>
              <w:rPr>
                <w:rFonts w:hint="default" w:ascii="Times New Roman" w:hAnsi="Times New Roman" w:eastAsia="方正仿宋_GBK"/>
                <w:b/>
                <w:kern w:val="0"/>
                <w:sz w:val="21"/>
                <w:szCs w:val="24"/>
              </w:rPr>
            </w:pPr>
            <w:r>
              <w:rPr>
                <w:rFonts w:hint="eastAsia" w:ascii="方正仿宋_GBK" w:hAnsi="方正仿宋_GBK" w:eastAsia="方正仿宋_GBK" w:cs="方正仿宋_GBK"/>
                <w:b/>
                <w:kern w:val="0"/>
                <w:sz w:val="21"/>
                <w:szCs w:val="21"/>
              </w:rPr>
              <w:t>《食品安全法》第三十五条第一款</w:t>
            </w:r>
            <w:r>
              <w:rPr>
                <w:rFonts w:hint="eastAsia" w:ascii="方正仿宋_GBK" w:hAnsi="方正仿宋_GBK" w:eastAsia="方正仿宋_GBK" w:cs="方正仿宋_GBK"/>
                <w:kern w:val="0"/>
                <w:sz w:val="21"/>
                <w:szCs w:val="21"/>
              </w:rPr>
              <w:t xml:space="preserve">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tc>
        <w:tc>
          <w:tcPr>
            <w:tcW w:w="4766" w:type="dxa"/>
            <w:tcBorders>
              <w:top w:val="nil"/>
              <w:left w:val="nil"/>
              <w:bottom w:val="single" w:color="auto" w:sz="4" w:space="0"/>
              <w:right w:val="single" w:color="auto" w:sz="4" w:space="0"/>
              <w:tl2br w:val="nil"/>
              <w:tr2bl w:val="nil"/>
            </w:tcBorders>
            <w:noWrap w:val="0"/>
            <w:vAlign w:val="center"/>
          </w:tcPr>
          <w:p w14:paraId="017CE11B">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《食品经营许可和备案管理办法》第五十二条第一款 </w:t>
            </w:r>
            <w:r>
              <w:rPr>
                <w:rFonts w:hint="eastAsia" w:ascii="Times New Roman" w:hAnsi="Times New Roman" w:eastAsia="方正仿宋_GBK"/>
                <w:kern w:val="0"/>
                <w:sz w:val="21"/>
                <w:szCs w:val="24"/>
              </w:rPr>
              <w:t>未取得食品经营许可从事食品经营活动的，由县级以上地方市场监督管理部门依照《中华人民共和国食品安全法》第一百二十二条的规定给予处罚。</w:t>
            </w:r>
          </w:p>
          <w:p w14:paraId="48B549EF">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w:t>
            </w:r>
          </w:p>
          <w:p w14:paraId="6F5C010E">
            <w:pPr>
              <w:widowControl/>
              <w:spacing w:beforeLines="0" w:afterLines="0" w:line="240" w:lineRule="exac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14:paraId="437D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0500F270">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BA2CFB5">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58</w:t>
            </w:r>
          </w:p>
        </w:tc>
        <w:tc>
          <w:tcPr>
            <w:tcW w:w="1712" w:type="dxa"/>
            <w:tcBorders>
              <w:top w:val="nil"/>
              <w:left w:val="nil"/>
              <w:bottom w:val="single" w:color="auto" w:sz="4" w:space="0"/>
              <w:right w:val="single" w:color="auto" w:sz="4" w:space="0"/>
              <w:tl2br w:val="nil"/>
              <w:tr2bl w:val="nil"/>
            </w:tcBorders>
            <w:noWrap w:val="0"/>
            <w:vAlign w:val="center"/>
          </w:tcPr>
          <w:p w14:paraId="0B192C7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食品经营许可证有效期届满未延续的</w:t>
            </w:r>
          </w:p>
        </w:tc>
        <w:tc>
          <w:tcPr>
            <w:tcW w:w="2421" w:type="dxa"/>
            <w:tcBorders>
              <w:top w:val="nil"/>
              <w:left w:val="nil"/>
              <w:bottom w:val="single" w:color="auto" w:sz="4" w:space="0"/>
              <w:right w:val="single" w:color="auto" w:sz="4" w:space="0"/>
              <w:tl2br w:val="nil"/>
              <w:tr2bl w:val="nil"/>
            </w:tcBorders>
            <w:noWrap w:val="0"/>
            <w:vAlign w:val="center"/>
          </w:tcPr>
          <w:p w14:paraId="165A7D74">
            <w:pPr>
              <w:widowControl/>
              <w:spacing w:beforeLines="0" w:afterLines="0" w:line="240" w:lineRule="exac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3F1F9820">
            <w:pPr>
              <w:widowControl/>
              <w:spacing w:beforeLines="0" w:afterLines="0" w:line="240" w:lineRule="exac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同时具备以下条件：</w:t>
            </w:r>
          </w:p>
          <w:p w14:paraId="17937A89">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5B042D7A">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违法行为持续时间不足1个月；</w:t>
            </w:r>
          </w:p>
          <w:p w14:paraId="7124B52E">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2ECAB1A8">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实际具备取得食品经营许可证的条件；</w:t>
            </w:r>
          </w:p>
          <w:p w14:paraId="1F7B5729">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许可证有效期内未发生食品安全事故。</w:t>
            </w:r>
          </w:p>
        </w:tc>
        <w:tc>
          <w:tcPr>
            <w:tcW w:w="4771" w:type="dxa"/>
            <w:tcBorders>
              <w:top w:val="nil"/>
              <w:left w:val="nil"/>
              <w:bottom w:val="single" w:color="auto" w:sz="4" w:space="0"/>
              <w:right w:val="single" w:color="auto" w:sz="4" w:space="0"/>
              <w:tl2br w:val="nil"/>
              <w:tr2bl w:val="nil"/>
            </w:tcBorders>
            <w:noWrap w:val="0"/>
            <w:vAlign w:val="center"/>
          </w:tcPr>
          <w:p w14:paraId="797ED783">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b/>
                <w:kern w:val="0"/>
                <w:sz w:val="21"/>
                <w:szCs w:val="21"/>
              </w:rPr>
              <w:t xml:space="preserve">《食品安全法》第三十五条第一款 </w:t>
            </w:r>
            <w:r>
              <w:rPr>
                <w:rFonts w:hint="eastAsia" w:ascii="方正仿宋_GBK" w:hAnsi="方正仿宋_GBK" w:eastAsia="方正仿宋_GBK" w:cs="方正仿宋_GBK"/>
                <w:kern w:val="0"/>
                <w:sz w:val="21"/>
                <w:szCs w:val="21"/>
              </w:rPr>
              <w:t>国家对食品生产经营实行许可制度。从事食品生产、食品销售、餐饮服务，应当依法取得许可。但是，销售食用农产品和仅销售预包装食品的，不需要取得许可。仅销售预包装食品的，应当报所在地</w:t>
            </w:r>
          </w:p>
          <w:p w14:paraId="7CA2D8BB">
            <w:pPr>
              <w:widowControl/>
              <w:spacing w:beforeLines="0" w:afterLines="0" w:line="300" w:lineRule="exact"/>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kern w:val="0"/>
                <w:sz w:val="21"/>
                <w:szCs w:val="21"/>
              </w:rPr>
              <w:t>县级以上地方人民政府食品安全监督管理部门备案。</w:t>
            </w:r>
          </w:p>
        </w:tc>
        <w:tc>
          <w:tcPr>
            <w:tcW w:w="4766" w:type="dxa"/>
            <w:tcBorders>
              <w:top w:val="nil"/>
              <w:left w:val="nil"/>
              <w:bottom w:val="single" w:color="auto" w:sz="4" w:space="0"/>
              <w:right w:val="single" w:color="auto" w:sz="4" w:space="0"/>
              <w:tl2br w:val="nil"/>
              <w:tr2bl w:val="nil"/>
            </w:tcBorders>
            <w:noWrap w:val="0"/>
            <w:vAlign w:val="center"/>
          </w:tcPr>
          <w:p w14:paraId="3307F1C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违反本法规定，未取得食品生产经营许可从事食品生产经营活动，或者未取得食品添加剂生产许可从事食品添加剂生产活动的，由县级以上人民政府食品安全监督管理部门没收违法所得和违法</w:t>
            </w:r>
          </w:p>
          <w:p w14:paraId="6E9D9CB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14:paraId="352F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20A5B955">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02AE94B">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59</w:t>
            </w:r>
          </w:p>
        </w:tc>
        <w:tc>
          <w:tcPr>
            <w:tcW w:w="1712" w:type="dxa"/>
            <w:tcBorders>
              <w:top w:val="nil"/>
              <w:left w:val="nil"/>
              <w:bottom w:val="single" w:color="auto" w:sz="4" w:space="0"/>
              <w:right w:val="single" w:color="auto" w:sz="4" w:space="0"/>
              <w:tl2br w:val="nil"/>
              <w:tr2bl w:val="nil"/>
            </w:tcBorders>
            <w:noWrap w:val="0"/>
            <w:vAlign w:val="center"/>
          </w:tcPr>
          <w:p w14:paraId="33DE0A6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将特殊食品与普通食品或者药品混放销售</w:t>
            </w:r>
          </w:p>
        </w:tc>
        <w:tc>
          <w:tcPr>
            <w:tcW w:w="2421" w:type="dxa"/>
            <w:tcBorders>
              <w:top w:val="nil"/>
              <w:left w:val="nil"/>
              <w:bottom w:val="single" w:color="auto" w:sz="4" w:space="0"/>
              <w:right w:val="single" w:color="auto" w:sz="4" w:space="0"/>
              <w:tl2br w:val="nil"/>
              <w:tr2bl w:val="nil"/>
            </w:tcBorders>
            <w:noWrap w:val="0"/>
            <w:vAlign w:val="center"/>
          </w:tcPr>
          <w:p w14:paraId="246E9FED">
            <w:pPr>
              <w:widowControl/>
              <w:spacing w:beforeLines="0" w:afterLines="0" w:line="240" w:lineRule="exact"/>
              <w:rPr>
                <w:rFonts w:hint="eastAsia" w:ascii="方正仿宋_GBK" w:hAnsi="方正仿宋_GBK" w:eastAsia="方正仿宋_GBK" w:cs="方正仿宋_GBK"/>
                <w:kern w:val="0"/>
                <w:sz w:val="21"/>
                <w:szCs w:val="21"/>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7655CB0E">
            <w:pPr>
              <w:widowControl/>
              <w:spacing w:beforeLines="0" w:afterLines="0" w:line="240" w:lineRule="exac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首违不罚须同时具备以下条件：</w:t>
            </w:r>
          </w:p>
          <w:p w14:paraId="6ABB5416">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2AF448D1">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能如实说明进货来源；</w:t>
            </w:r>
          </w:p>
          <w:p w14:paraId="512292A0">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未发生食品安全事故或未发生食源性疾病；</w:t>
            </w:r>
          </w:p>
          <w:p w14:paraId="07235841">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4. </w:t>
            </w:r>
            <w:r>
              <w:rPr>
                <w:rFonts w:hint="eastAsia" w:ascii="Times New Roman" w:hAnsi="Times New Roman" w:eastAsia="方正仿宋_GBK"/>
                <w:kern w:val="0"/>
                <w:sz w:val="21"/>
                <w:szCs w:val="24"/>
              </w:rPr>
              <w:t>及时改正。</w:t>
            </w:r>
          </w:p>
          <w:p w14:paraId="15E4C267">
            <w:pPr>
              <w:widowControl/>
              <w:spacing w:beforeLines="0" w:afterLines="0" w:line="240" w:lineRule="exac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轻微违法不予处罚须同时具备以下条件：</w:t>
            </w:r>
          </w:p>
          <w:p w14:paraId="6DECDE2B">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能如实说明进货来源；</w:t>
            </w:r>
          </w:p>
          <w:p w14:paraId="751CFAAD">
            <w:pPr>
              <w:widowControl/>
              <w:spacing w:beforeLines="0" w:afterLines="0" w:line="240" w:lineRule="exac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未发生食品安全事故或未发生食源性疾病；</w:t>
            </w:r>
          </w:p>
          <w:p w14:paraId="77520A4D">
            <w:pPr>
              <w:widowControl/>
              <w:spacing w:beforeLines="0" w:afterLines="0" w:line="24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44A6018A">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b/>
                <w:kern w:val="0"/>
                <w:sz w:val="21"/>
                <w:szCs w:val="21"/>
              </w:rPr>
              <w:t>《食品安全法实施条例》第三十九条第二款</w:t>
            </w:r>
            <w:r>
              <w:rPr>
                <w:rFonts w:hint="eastAsia" w:ascii="方正仿宋_GBK" w:hAnsi="方正仿宋_GBK" w:eastAsia="方正仿宋_GBK" w:cs="方正仿宋_GBK"/>
                <w:kern w:val="0"/>
                <w:sz w:val="21"/>
                <w:szCs w:val="21"/>
              </w:rPr>
              <w:t xml:space="preserve"> 特殊食品不得与普通食品或者药品混放销售。</w:t>
            </w:r>
          </w:p>
        </w:tc>
        <w:tc>
          <w:tcPr>
            <w:tcW w:w="4766" w:type="dxa"/>
            <w:tcBorders>
              <w:top w:val="nil"/>
              <w:left w:val="nil"/>
              <w:bottom w:val="single" w:color="auto" w:sz="4" w:space="0"/>
              <w:right w:val="single" w:color="auto" w:sz="4" w:space="0"/>
              <w:tl2br w:val="nil"/>
              <w:tr2bl w:val="nil"/>
            </w:tcBorders>
            <w:noWrap w:val="0"/>
            <w:vAlign w:val="center"/>
          </w:tcPr>
          <w:p w14:paraId="2802FB41">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《食品安全法实施条例》第六十九条第五项 </w:t>
            </w:r>
            <w:r>
              <w:rPr>
                <w:rFonts w:hint="eastAsia" w:ascii="Times New Roman" w:hAnsi="Times New Roman" w:eastAsia="方正仿宋_GBK"/>
                <w:kern w:val="0"/>
                <w:sz w:val="21"/>
                <w:szCs w:val="24"/>
              </w:rPr>
              <w:t>有下列情形之一的，依照食品安全法第一百二十六条第一款、本条例第七十五条的规定给予处罚：（五）将特殊食品与普通食品或者药品混放销售。</w:t>
            </w:r>
          </w:p>
          <w:p w14:paraId="27EB8ADD">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《食品安全法》第一百二十六条第一款 </w:t>
            </w:r>
            <w:r>
              <w:rPr>
                <w:rFonts w:hint="eastAsia" w:ascii="Times New Roman" w:hAnsi="Times New Roman" w:eastAsia="方正仿宋_GBK"/>
                <w:kern w:val="0"/>
                <w:sz w:val="21"/>
                <w:szCs w:val="24"/>
              </w:rPr>
              <w:t>违反本法规定，有下列情形之一的，由县级以上人民政府食品安全监督管理部门责令改正，给予警告；拒不改正的，处五千元以上五万元以下罚款；情节严重的，责令停产停业，直至吊销许可证。</w:t>
            </w:r>
          </w:p>
        </w:tc>
      </w:tr>
      <w:tr w14:paraId="2524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D3290">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B3E1584">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60</w:t>
            </w:r>
          </w:p>
        </w:tc>
        <w:tc>
          <w:tcPr>
            <w:tcW w:w="1712" w:type="dxa"/>
            <w:tcBorders>
              <w:top w:val="nil"/>
              <w:left w:val="nil"/>
              <w:bottom w:val="single" w:color="auto" w:sz="4" w:space="0"/>
              <w:right w:val="single" w:color="auto" w:sz="4" w:space="0"/>
              <w:tl2br w:val="nil"/>
              <w:tr2bl w:val="nil"/>
            </w:tcBorders>
            <w:noWrap w:val="0"/>
            <w:vAlign w:val="center"/>
          </w:tcPr>
          <w:p w14:paraId="0EF9E43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对食品生产经营主体的监督检查中，发现食品生产主体生产过程</w:t>
            </w:r>
          </w:p>
          <w:p w14:paraId="178556C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控制不符合《食品安全国家标准 食品生产通用 卫生规范》（ GB</w:t>
            </w:r>
          </w:p>
          <w:p w14:paraId="76C0683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14881</w:t>
            </w:r>
            <w:r>
              <w:rPr>
                <w:rFonts w:hint="eastAsia" w:ascii="Times New Roman" w:hAnsi="Times New Roman" w:eastAsia="方正仿宋_GBK"/>
                <w:kern w:val="0"/>
                <w:sz w:val="21"/>
                <w:szCs w:val="24"/>
              </w:rPr>
              <w:t>）规定或食品经营主体经营过程控制不符合《食品安全国家</w:t>
            </w:r>
          </w:p>
          <w:p w14:paraId="7276D08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标准 餐饮服务通用卫生规范》（GB31654）、《食品安全国 家标准 食品经营过程卫生规范》（GB31621）规定</w:t>
            </w:r>
          </w:p>
        </w:tc>
        <w:tc>
          <w:tcPr>
            <w:tcW w:w="2421" w:type="dxa"/>
            <w:tcBorders>
              <w:top w:val="nil"/>
              <w:left w:val="nil"/>
              <w:bottom w:val="single" w:color="auto" w:sz="4" w:space="0"/>
              <w:right w:val="single" w:color="auto" w:sz="4" w:space="0"/>
              <w:tl2br w:val="nil"/>
              <w:tr2bl w:val="nil"/>
            </w:tcBorders>
            <w:noWrap w:val="0"/>
            <w:vAlign w:val="center"/>
          </w:tcPr>
          <w:p w14:paraId="7EC7035A">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Times New Roman" w:hAnsi="Times New Roman" w:eastAsia="方正仿宋_GBK"/>
                <w:kern w:val="0"/>
                <w:sz w:val="21"/>
                <w:szCs w:val="24"/>
              </w:rPr>
              <w:t>说明：学校、托幼机构、养老机构、建筑工地等集中用餐单位以及为其供餐的集体用餐配送单位不适用。</w:t>
            </w:r>
          </w:p>
          <w:p w14:paraId="01BCC251">
            <w:pPr>
              <w:widowControl/>
              <w:spacing w:beforeLines="0" w:afterLines="0" w:line="300" w:lineRule="exac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同时具备以下条件：</w:t>
            </w:r>
          </w:p>
          <w:p w14:paraId="7E14E80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1. </w:t>
            </w:r>
            <w:r>
              <w:rPr>
                <w:rFonts w:hint="eastAsia" w:ascii="Times New Roman" w:hAnsi="Times New Roman" w:eastAsia="方正仿宋_GBK"/>
                <w:kern w:val="0"/>
                <w:sz w:val="21"/>
                <w:szCs w:val="24"/>
              </w:rPr>
              <w:t>初次违法；</w:t>
            </w:r>
          </w:p>
          <w:p w14:paraId="38FF9F4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2. </w:t>
            </w:r>
            <w:r>
              <w:rPr>
                <w:rFonts w:hint="eastAsia" w:ascii="Times New Roman" w:hAnsi="Times New Roman" w:eastAsia="方正仿宋_GBK"/>
                <w:kern w:val="0"/>
                <w:sz w:val="21"/>
                <w:szCs w:val="24"/>
              </w:rPr>
              <w:t>未发生食品安全事故或未发生食源性疾病；</w:t>
            </w:r>
          </w:p>
          <w:p w14:paraId="2BA73FCC">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3. </w:t>
            </w:r>
            <w:r>
              <w:rPr>
                <w:rFonts w:hint="eastAsia" w:ascii="Times New Roman" w:hAnsi="Times New Roman" w:eastAsia="方正仿宋_GBK"/>
                <w:kern w:val="0"/>
                <w:sz w:val="21"/>
                <w:szCs w:val="24"/>
              </w:rPr>
              <w:t>及时改正。</w:t>
            </w:r>
          </w:p>
          <w:p w14:paraId="6E22E859">
            <w:pPr>
              <w:widowControl/>
              <w:spacing w:beforeLines="0" w:afterLines="0" w:line="300" w:lineRule="exac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4738633E">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Times New Roman" w:hAnsi="Times New Roman" w:eastAsia="方正仿宋_GBK"/>
                <w:b/>
                <w:kern w:val="0"/>
                <w:sz w:val="21"/>
                <w:szCs w:val="24"/>
              </w:rPr>
              <w:t>《食品安全法》</w:t>
            </w:r>
            <w:r>
              <w:rPr>
                <w:rFonts w:hint="eastAsia" w:ascii="方正仿宋_GBK" w:hAnsi="方正仿宋_GBK" w:eastAsia="方正仿宋_GBK" w:cs="方正仿宋_GBK"/>
                <w:b/>
                <w:kern w:val="0"/>
                <w:sz w:val="21"/>
                <w:szCs w:val="21"/>
              </w:rPr>
              <w:t>第三十三条</w:t>
            </w:r>
            <w:r>
              <w:rPr>
                <w:rFonts w:hint="eastAsia" w:ascii="Times New Roman" w:hAnsi="Times New Roman" w:eastAsia="方正仿宋_GBK"/>
                <w:b/>
                <w:kern w:val="0"/>
                <w:sz w:val="21"/>
                <w:szCs w:val="24"/>
              </w:rPr>
              <w:t>第一款第五项、第七项至第十项</w:t>
            </w:r>
            <w:r>
              <w:rPr>
                <w:rFonts w:hint="eastAsia" w:ascii="方正仿宋_GBK" w:hAnsi="方正仿宋_GBK" w:eastAsia="方正仿宋_GBK" w:cs="方正仿宋_GBK"/>
                <w:kern w:val="0"/>
                <w:sz w:val="21"/>
                <w:szCs w:val="21"/>
              </w:rPr>
              <w:t>　食品生产经营应当符合食品安全标准，并符合下列要求：（五）餐具、饮具和盛放直接入口食品的容器，使用前应当洗净、消毒，炊具、用具用后应当洗净，保持清洁；（七）直接入口的食品应当使用无毒、清洁的包装材料、餐具、饮具和容器；（八）食品生产经营人员应当保持个人卫生，生产经营食品时，应当将手洗净，穿戴清洁的工作衣、帽等；销售无包装的直接入口食品时，应当使用无毒、清洁的容器、售货工具和设备；（九）用水应当符合国家规定的生活饮用水卫生标准；（十）使用的洗涤剂、消毒剂应当对人体安全、无害；</w:t>
            </w:r>
          </w:p>
          <w:p w14:paraId="07C6ACB7">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b/>
                <w:kern w:val="0"/>
                <w:sz w:val="21"/>
                <w:szCs w:val="21"/>
              </w:rPr>
              <w:t>第一百二十五条</w:t>
            </w:r>
            <w:r>
              <w:rPr>
                <w:rFonts w:hint="eastAsia" w:ascii="Times New Roman" w:hAnsi="Times New Roman" w:eastAsia="方正仿宋_GBK"/>
                <w:b/>
                <w:kern w:val="0"/>
                <w:sz w:val="21"/>
                <w:szCs w:val="24"/>
              </w:rPr>
              <w:t>第一款</w:t>
            </w:r>
            <w:r>
              <w:rPr>
                <w:rFonts w:hint="eastAsia" w:ascii="方正仿宋_GBK" w:hAnsi="方正仿宋_GBK" w:eastAsia="方正仿宋_GBK" w:cs="方正仿宋_GBK"/>
                <w:kern w:val="0"/>
                <w:sz w:val="21"/>
                <w:szCs w:val="21"/>
              </w:rPr>
              <w:t>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78F05CB2">
            <w:pPr>
              <w:widowControl/>
              <w:spacing w:beforeLines="0" w:afterLines="0" w:line="300" w:lineRule="exac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（一）生产经营被包装材料、容器、运输工具等污染的食品、食品添加剂；</w:t>
            </w:r>
          </w:p>
        </w:tc>
        <w:tc>
          <w:tcPr>
            <w:tcW w:w="4766" w:type="dxa"/>
            <w:tcBorders>
              <w:top w:val="nil"/>
              <w:left w:val="nil"/>
              <w:bottom w:val="single" w:color="auto" w:sz="4" w:space="0"/>
              <w:right w:val="single" w:color="auto" w:sz="4" w:space="0"/>
              <w:tl2br w:val="nil"/>
              <w:tr2bl w:val="nil"/>
            </w:tcBorders>
            <w:noWrap w:val="0"/>
            <w:vAlign w:val="center"/>
          </w:tcPr>
          <w:p w14:paraId="716D21B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《食品安全法实施条例》第七十条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14:paraId="26C0E97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《食品安全法》第一百二十六条第一款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违反本法规定，有下列情形之一的，由县级以上人民政府食品安全监督管理部门责令改正，给予警告；拒不改正的，处五千元以上五万元以下罚款；情节严重的，责令停产停业，直至吊销许可证。</w:t>
            </w:r>
          </w:p>
        </w:tc>
      </w:tr>
      <w:tr w14:paraId="235F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A3431">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4A0617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61</w:t>
            </w:r>
          </w:p>
        </w:tc>
        <w:tc>
          <w:tcPr>
            <w:tcW w:w="1712" w:type="dxa"/>
            <w:tcBorders>
              <w:top w:val="nil"/>
              <w:left w:val="nil"/>
              <w:bottom w:val="single" w:color="auto" w:sz="4" w:space="0"/>
              <w:right w:val="single" w:color="auto" w:sz="4" w:space="0"/>
              <w:tl2br w:val="nil"/>
              <w:tr2bl w:val="nil"/>
            </w:tcBorders>
            <w:noWrap w:val="0"/>
            <w:vAlign w:val="center"/>
          </w:tcPr>
          <w:p w14:paraId="7F823486">
            <w:pPr>
              <w:widowControl/>
              <w:spacing w:beforeLines="0" w:afterLines="0" w:line="280" w:lineRule="exac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食品经营者超过许可的经营项目加工销售植物类冷食类食品（包含线下和入网销售）</w:t>
            </w:r>
          </w:p>
        </w:tc>
        <w:tc>
          <w:tcPr>
            <w:tcW w:w="2421" w:type="dxa"/>
            <w:tcBorders>
              <w:top w:val="nil"/>
              <w:left w:val="nil"/>
              <w:bottom w:val="single" w:color="auto" w:sz="4" w:space="0"/>
              <w:right w:val="single" w:color="auto" w:sz="4" w:space="0"/>
              <w:tl2br w:val="nil"/>
              <w:tr2bl w:val="nil"/>
            </w:tcBorders>
            <w:noWrap w:val="0"/>
            <w:vAlign w:val="center"/>
          </w:tcPr>
          <w:p w14:paraId="3871B9B3">
            <w:pPr>
              <w:widowControl/>
              <w:spacing w:beforeLines="0" w:afterLines="0" w:line="280" w:lineRule="exact"/>
              <w:jc w:val="left"/>
              <w:rPr>
                <w:rFonts w:hint="default" w:ascii="Times New Roman" w:hAnsi="Times New Roman" w:eastAsia="方正仿宋_GBK"/>
                <w:kern w:val="0"/>
                <w:sz w:val="21"/>
                <w:szCs w:val="24"/>
              </w:rPr>
            </w:pPr>
            <w:r>
              <w:rPr>
                <w:rFonts w:hint="eastAsia" w:ascii="方正仿宋_GBK" w:hAnsi="方正仿宋_GBK" w:eastAsia="方正仿宋_GBK" w:cs="方正仿宋_GBK"/>
                <w:kern w:val="0"/>
                <w:sz w:val="21"/>
                <w:szCs w:val="21"/>
              </w:rPr>
              <w:t>同时具备以下条件：</w:t>
            </w:r>
            <w:r>
              <w:rPr>
                <w:rFonts w:hint="eastAsia" w:ascii="方正仿宋_GBK" w:hAnsi="方正仿宋_GBK" w:eastAsia="方正仿宋_GBK" w:cs="方正仿宋_GBK"/>
                <w:kern w:val="0"/>
                <w:sz w:val="21"/>
                <w:szCs w:val="21"/>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食品原料来源合法，使用的食品原料和加工的食品不存在食品安全风险；</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持续时间较短，或案涉食品货值较小；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及时终止违法行为，或者及时取得变更许可。</w:t>
            </w:r>
          </w:p>
          <w:p w14:paraId="19A1D53B">
            <w:pPr>
              <w:widowControl/>
              <w:spacing w:beforeLines="0" w:afterLines="0" w:line="280" w:lineRule="exact"/>
              <w:jc w:val="left"/>
              <w:rPr>
                <w:rFonts w:hint="default" w:ascii="Times New Roman" w:hAnsi="Times New Roman" w:eastAsia="方正仿宋_GBK"/>
                <w:kern w:val="0"/>
                <w:sz w:val="21"/>
                <w:szCs w:val="24"/>
              </w:rPr>
            </w:pPr>
          </w:p>
        </w:tc>
        <w:tc>
          <w:tcPr>
            <w:tcW w:w="4771" w:type="dxa"/>
            <w:tcBorders>
              <w:top w:val="nil"/>
              <w:left w:val="nil"/>
              <w:bottom w:val="single" w:color="auto" w:sz="4" w:space="0"/>
              <w:right w:val="single" w:color="auto" w:sz="4" w:space="0"/>
              <w:tl2br w:val="nil"/>
              <w:tr2bl w:val="nil"/>
            </w:tcBorders>
            <w:noWrap w:val="0"/>
            <w:vAlign w:val="center"/>
          </w:tcPr>
          <w:p w14:paraId="63B6EB33">
            <w:pPr>
              <w:widowControl/>
              <w:spacing w:beforeLines="0" w:afterLines="0" w:line="260" w:lineRule="exact"/>
              <w:jc w:val="left"/>
              <w:rPr>
                <w:rFonts w:hint="default" w:ascii="Times New Roman" w:hAnsi="Times New Roman" w:eastAsia="方正仿宋_GBK"/>
                <w:kern w:val="0"/>
                <w:sz w:val="21"/>
                <w:szCs w:val="24"/>
              </w:rPr>
            </w:pPr>
            <w:r>
              <w:rPr>
                <w:rFonts w:hint="eastAsia" w:ascii="方正仿宋_GBK" w:hAnsi="方正仿宋_GBK" w:eastAsia="方正仿宋_GBK" w:cs="方正仿宋_GBK"/>
                <w:b/>
                <w:kern w:val="0"/>
                <w:sz w:val="21"/>
                <w:szCs w:val="21"/>
              </w:rPr>
              <w:t>《食品安全法》第三十五条第一款</w:t>
            </w:r>
            <w:r>
              <w:rPr>
                <w:rFonts w:hint="eastAsia" w:ascii="方正仿宋_GBK" w:hAnsi="方正仿宋_GBK" w:eastAsia="方正仿宋_GBK" w:cs="方正仿宋_GBK"/>
                <w:kern w:val="0"/>
                <w:sz w:val="21"/>
                <w:szCs w:val="21"/>
              </w:rPr>
              <w:t xml:space="preserve">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Style w:val="22"/>
                <w:rFonts w:hint="eastAsia"/>
                <w:color w:val="auto"/>
                <w:sz w:val="21"/>
                <w:szCs w:val="21"/>
              </w:rPr>
              <w:br w:type="textWrapping"/>
            </w:r>
            <w:r>
              <w:rPr>
                <w:rFonts w:hint="eastAsia" w:ascii="方正仿宋_GBK" w:hAnsi="方正仿宋_GBK" w:eastAsia="方正仿宋_GBK" w:cs="方正仿宋_GBK"/>
                <w:b/>
                <w:kern w:val="0"/>
                <w:sz w:val="21"/>
                <w:szCs w:val="21"/>
              </w:rPr>
              <w:t xml:space="preserve">《网络食品安全违法行为查处办法》第十六条 </w:t>
            </w:r>
            <w:r>
              <w:rPr>
                <w:rFonts w:hint="eastAsia" w:ascii="方正仿宋_GBK" w:hAnsi="方正仿宋_GBK" w:eastAsia="方正仿宋_GBK" w:cs="方正仿宋_GBK"/>
                <w:kern w:val="0"/>
                <w:sz w:val="21"/>
                <w:szCs w:val="21"/>
              </w:rPr>
              <w:t xml:space="preserve"> 入网食品生产经营者应当依法取得许可，入网食品生产者应当按照许可的类别范围销售食品，入网食品经营者应当按照许可的经营项目范围从事食品经营。法律、法规规定不需要取得食品生产经营许可的除外。</w:t>
            </w:r>
            <w:r>
              <w:rPr>
                <w:rFonts w:hint="eastAsia" w:ascii="方正仿宋_GBK" w:hAnsi="方正仿宋_GBK" w:eastAsia="方正仿宋_GBK" w:cs="方正仿宋_GBK"/>
                <w:kern w:val="0"/>
                <w:sz w:val="21"/>
                <w:szCs w:val="21"/>
              </w:rPr>
              <w:br w:type="textWrapping"/>
            </w:r>
            <w:r>
              <w:rPr>
                <w:rFonts w:hint="eastAsia" w:ascii="方正仿宋_GBK" w:hAnsi="方正仿宋_GBK" w:eastAsia="方正仿宋_GBK" w:cs="方正仿宋_GBK"/>
                <w:kern w:val="0"/>
                <w:sz w:val="21"/>
                <w:szCs w:val="21"/>
              </w:rPr>
              <w:t xml:space="preserve">   取得食品生产许可的食品生产者，通过网络销售其生产的食品，不需要取得食品经营许可。取得食品经营许可的食品经营者通过网络销售其制作加工的食品，不需要取得食品生产许可。</w:t>
            </w:r>
            <w:r>
              <w:rPr>
                <w:rStyle w:val="22"/>
                <w:rFonts w:hint="eastAsia"/>
                <w:color w:val="auto"/>
                <w:sz w:val="21"/>
                <w:szCs w:val="21"/>
              </w:rPr>
              <w:br w:type="textWrapping"/>
            </w:r>
            <w:r>
              <w:rPr>
                <w:rFonts w:hint="eastAsia" w:ascii="方正仿宋_GBK" w:hAnsi="方正仿宋_GBK" w:eastAsia="方正仿宋_GBK" w:cs="方正仿宋_GBK"/>
                <w:b/>
                <w:kern w:val="0"/>
                <w:sz w:val="21"/>
                <w:szCs w:val="21"/>
              </w:rPr>
              <w:t>《食品经营许可和备案管理办法》第二十九条</w:t>
            </w:r>
            <w:r>
              <w:rPr>
                <w:rFonts w:hint="eastAsia" w:ascii="方正仿宋_GBK" w:hAnsi="方正仿宋_GBK" w:eastAsia="方正仿宋_GBK" w:cs="方正仿宋_GBK"/>
                <w:kern w:val="0"/>
                <w:sz w:val="21"/>
                <w:szCs w:val="21"/>
              </w:rPr>
              <w:t xml:space="preserve">  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tc>
        <w:tc>
          <w:tcPr>
            <w:tcW w:w="4766" w:type="dxa"/>
            <w:tcBorders>
              <w:top w:val="nil"/>
              <w:left w:val="nil"/>
              <w:bottom w:val="single" w:color="auto" w:sz="4" w:space="0"/>
              <w:right w:val="single" w:color="auto" w:sz="4" w:space="0"/>
              <w:tl2br w:val="nil"/>
              <w:tr2bl w:val="nil"/>
            </w:tcBorders>
            <w:noWrap w:val="0"/>
            <w:vAlign w:val="center"/>
          </w:tcPr>
          <w:p w14:paraId="1AD3975A">
            <w:pPr>
              <w:keepNext w:val="0"/>
              <w:keepLines w:val="0"/>
              <w:pageBreakBefore w:val="0"/>
              <w:widowControl/>
              <w:kinsoku/>
              <w:wordWrap/>
              <w:overflowPunct/>
              <w:topLinePunct w:val="0"/>
              <w:autoSpaceDE/>
              <w:autoSpaceDN/>
              <w:bidi w:val="0"/>
              <w:adjustRightInd w:val="0"/>
              <w:snapToGrid w:val="0"/>
              <w:spacing w:beforeLines="0" w:afterLines="0" w:line="250" w:lineRule="exact"/>
              <w:jc w:val="left"/>
              <w:textAlignment w:val="auto"/>
              <w:rPr>
                <w:rFonts w:hint="default" w:ascii="Times New Roman" w:hAnsi="Times New Roman" w:eastAsia="方正仿宋_GBK"/>
                <w:kern w:val="0"/>
                <w:sz w:val="21"/>
                <w:szCs w:val="24"/>
              </w:rPr>
            </w:pPr>
            <w:r>
              <w:rPr>
                <w:rFonts w:hint="eastAsia" w:ascii="方正仿宋_GBK" w:hAnsi="方正仿宋_GBK" w:eastAsia="方正仿宋_GBK" w:cs="方正仿宋_GBK"/>
                <w:b/>
                <w:kern w:val="0"/>
                <w:sz w:val="21"/>
                <w:szCs w:val="21"/>
              </w:rPr>
              <w:t xml:space="preserve">《食品安全法》第一百二十二条第一款 </w:t>
            </w:r>
            <w:r>
              <w:rPr>
                <w:rFonts w:hint="eastAsia" w:ascii="方正仿宋_GBK" w:hAnsi="方正仿宋_GBK" w:eastAsia="方正仿宋_GBK" w:cs="方正仿宋_GBK"/>
                <w:kern w:val="0"/>
                <w:sz w:val="21"/>
                <w:szCs w:val="21"/>
              </w:rPr>
              <w:t xml:space="preserve">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方正仿宋_GBK" w:hAnsi="方正仿宋_GBK" w:eastAsia="方正仿宋_GBK" w:cs="方正仿宋_GBK"/>
                <w:kern w:val="0"/>
                <w:sz w:val="21"/>
                <w:szCs w:val="21"/>
              </w:rPr>
              <w:br w:type="textWrapping"/>
            </w:r>
            <w:r>
              <w:rPr>
                <w:rFonts w:hint="eastAsia" w:ascii="方正仿宋_GBK" w:hAnsi="方正仿宋_GBK" w:eastAsia="方正仿宋_GBK" w:cs="方正仿宋_GBK"/>
                <w:b/>
                <w:kern w:val="0"/>
                <w:sz w:val="21"/>
                <w:szCs w:val="21"/>
              </w:rPr>
              <w:t>《网络食品安全违法行为查处办法》第三十八条</w:t>
            </w:r>
            <w:r>
              <w:rPr>
                <w:rFonts w:hint="eastAsia" w:ascii="方正仿宋_GBK" w:hAnsi="方正仿宋_GBK" w:eastAsia="方正仿宋_GBK" w:cs="方正仿宋_GBK"/>
                <w:kern w:val="0"/>
                <w:sz w:val="21"/>
                <w:szCs w:val="21"/>
              </w:rPr>
              <w:t xml:space="preserve">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r>
              <w:rPr>
                <w:rFonts w:hint="eastAsia" w:ascii="方正仿宋_GBK" w:hAnsi="方正仿宋_GBK" w:eastAsia="方正仿宋_GBK" w:cs="方正仿宋_GBK"/>
                <w:kern w:val="0"/>
                <w:sz w:val="21"/>
                <w:szCs w:val="21"/>
              </w:rPr>
              <w:br w:type="textWrapping"/>
            </w:r>
            <w:r>
              <w:rPr>
                <w:rFonts w:hint="eastAsia" w:ascii="方正仿宋_GBK" w:hAnsi="方正仿宋_GBK" w:eastAsia="方正仿宋_GBK" w:cs="方正仿宋_GBK"/>
                <w:b/>
                <w:kern w:val="0"/>
                <w:sz w:val="21"/>
                <w:szCs w:val="21"/>
              </w:rPr>
              <w:t>《食品经营许可和备案管理办法》第五十二条第三款</w:t>
            </w:r>
            <w:r>
              <w:rPr>
                <w:rFonts w:hint="eastAsia" w:ascii="方正仿宋_GBK" w:hAnsi="方正仿宋_GBK" w:eastAsia="方正仿宋_GBK" w:cs="方正仿宋_GBK"/>
                <w:kern w:val="0"/>
                <w:sz w:val="21"/>
                <w:szCs w:val="21"/>
              </w:rPr>
              <w:t xml:space="preserve">  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r>
              <w:rPr>
                <w:rFonts w:hint="eastAsia" w:ascii="方正仿宋_GBK" w:hAnsi="方正仿宋_GBK" w:eastAsia="方正仿宋_GBK" w:cs="方正仿宋_GBK"/>
                <w:kern w:val="0"/>
                <w:sz w:val="21"/>
                <w:szCs w:val="21"/>
              </w:rPr>
              <w:br w:type="textWrapping"/>
            </w:r>
            <w:r>
              <w:rPr>
                <w:rFonts w:hint="eastAsia" w:ascii="方正仿宋_GBK" w:hAnsi="方正仿宋_GBK" w:eastAsia="方正仿宋_GBK" w:cs="方正仿宋_GBK"/>
                <w:kern w:val="0"/>
                <w:sz w:val="21"/>
                <w:szCs w:val="21"/>
              </w:rPr>
              <w:t xml:space="preserve">（一）主体业态、经营项目发生变化，但食品安全风险等级未升高的；（二）增加经营项目类型，但增加的经营项目所需的经营条件被已经取得许可的经营项目涵盖的；（三）违法行为轻微，未对消费者人身健康和生命安全等造成危害后果的；（四）法律、法规、规章规定的其他情形。 </w:t>
            </w:r>
            <w:r>
              <w:rPr>
                <w:rFonts w:hint="default" w:ascii="Times New Roman" w:hAnsi="Times New Roman" w:eastAsia="方正仿宋_GBK"/>
                <w:kern w:val="0"/>
                <w:sz w:val="21"/>
                <w:szCs w:val="24"/>
              </w:rPr>
              <w:t xml:space="preserve">         </w:t>
            </w:r>
          </w:p>
        </w:tc>
      </w:tr>
      <w:tr w14:paraId="0D04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20A52570">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8A01E6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62</w:t>
            </w:r>
          </w:p>
        </w:tc>
        <w:tc>
          <w:tcPr>
            <w:tcW w:w="1712" w:type="dxa"/>
            <w:tcBorders>
              <w:top w:val="nil"/>
              <w:left w:val="nil"/>
              <w:bottom w:val="single" w:color="auto" w:sz="4" w:space="0"/>
              <w:right w:val="single" w:color="auto" w:sz="4" w:space="0"/>
              <w:tl2br w:val="nil"/>
              <w:tr2bl w:val="nil"/>
            </w:tcBorders>
            <w:noWrap w:val="0"/>
            <w:vAlign w:val="center"/>
          </w:tcPr>
          <w:p w14:paraId="254740BE">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生产的食品相关产品的标识缺少对相关法规及标准的符合性声明，或者声明内容不完整</w:t>
            </w:r>
          </w:p>
        </w:tc>
        <w:tc>
          <w:tcPr>
            <w:tcW w:w="2421" w:type="dxa"/>
            <w:tcBorders>
              <w:top w:val="nil"/>
              <w:left w:val="nil"/>
              <w:bottom w:val="single" w:color="auto" w:sz="4" w:space="0"/>
              <w:right w:val="single" w:color="auto" w:sz="4" w:space="0"/>
              <w:tl2br w:val="nil"/>
              <w:tr2bl w:val="nil"/>
            </w:tcBorders>
            <w:noWrap w:val="0"/>
            <w:vAlign w:val="center"/>
          </w:tcPr>
          <w:p w14:paraId="2BECDE4F">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同时具备以下条件：</w:t>
            </w:r>
          </w:p>
          <w:p w14:paraId="040998C0">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初次违法；</w:t>
            </w:r>
          </w:p>
          <w:p w14:paraId="5D9DE6C3">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危害后果轻微；</w:t>
            </w:r>
          </w:p>
          <w:p w14:paraId="677CB24E">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4E57C11">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《食品安全法》第四十一条</w:t>
            </w:r>
            <w:r>
              <w:rPr>
                <w:rFonts w:hint="default" w:ascii="Times New Roman" w:hAnsi="Times New Roman" w:eastAsia="方正仿宋_GBK"/>
                <w:kern w:val="0"/>
                <w:sz w:val="21"/>
                <w:szCs w:val="24"/>
              </w:rPr>
              <w:t xml:space="preserve">  </w:t>
            </w:r>
            <w:r>
              <w:rPr>
                <w:rFonts w:hint="eastAsia" w:ascii="Times New Roman" w:hAnsi="方正仿宋_GBK" w:eastAsia="方正仿宋_GBK"/>
                <w:kern w:val="0"/>
                <w:sz w:val="21"/>
                <w:szCs w:val="24"/>
              </w:rPr>
              <w:t>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tc>
        <w:tc>
          <w:tcPr>
            <w:tcW w:w="4766" w:type="dxa"/>
            <w:tcBorders>
              <w:top w:val="nil"/>
              <w:left w:val="nil"/>
              <w:bottom w:val="single" w:color="auto" w:sz="4" w:space="0"/>
              <w:right w:val="single" w:color="auto" w:sz="4" w:space="0"/>
              <w:tl2br w:val="nil"/>
              <w:tr2bl w:val="nil"/>
            </w:tcBorders>
            <w:noWrap w:val="0"/>
            <w:vAlign w:val="center"/>
          </w:tcPr>
          <w:p w14:paraId="191E30A9">
            <w:pPr>
              <w:widowControl/>
              <w:adjustRightInd w:val="0"/>
              <w:snapToGrid w:val="0"/>
              <w:spacing w:beforeLines="0" w:afterLines="0" w:line="240" w:lineRule="exact"/>
              <w:jc w:val="left"/>
              <w:rPr>
                <w:rFonts w:hint="default" w:ascii="Times New Roman" w:hAnsi="Times New Roman" w:eastAsia="方正仿宋_GBK"/>
                <w:b/>
                <w:kern w:val="0"/>
                <w:sz w:val="21"/>
                <w:szCs w:val="24"/>
              </w:rPr>
            </w:pPr>
            <w:r>
              <w:rPr>
                <w:rFonts w:hint="eastAsia" w:ascii="Times New Roman" w:hAnsi="方正仿宋_GBK" w:eastAsia="方正仿宋_GBK"/>
                <w:b/>
                <w:kern w:val="0"/>
                <w:sz w:val="21"/>
                <w:szCs w:val="24"/>
              </w:rPr>
              <w:t>《食品安全法》第一百二十四条第一款</w:t>
            </w:r>
            <w:r>
              <w:rPr>
                <w:rFonts w:hint="default" w:ascii="Times New Roman" w:hAnsi="Times New Roman" w:eastAsia="方正仿宋_GBK"/>
                <w:b/>
                <w:kern w:val="0"/>
                <w:sz w:val="21"/>
                <w:szCs w:val="24"/>
              </w:rPr>
              <w:t xml:space="preserve"> </w:t>
            </w:r>
            <w:r>
              <w:rPr>
                <w:rFonts w:hint="eastAsia" w:ascii="Times New Roman" w:hAnsi="方正仿宋_GBK" w:eastAsia="方正仿宋_GBK"/>
                <w:kern w:val="0"/>
                <w:sz w:val="21"/>
                <w:szCs w:val="24"/>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7B26B1C7">
            <w:pPr>
              <w:widowControl/>
              <w:adjustRightInd w:val="0"/>
              <w:snapToGrid w:val="0"/>
              <w:spacing w:beforeLines="0" w:afterLines="0" w:line="240" w:lineRule="exact"/>
              <w:jc w:val="left"/>
              <w:rPr>
                <w:rFonts w:hint="eastAsia" w:ascii="Times New Roman" w:hAnsi="方正仿宋_GBK" w:eastAsia="方正仿宋_GBK"/>
                <w:kern w:val="0"/>
                <w:sz w:val="21"/>
                <w:szCs w:val="24"/>
              </w:rPr>
            </w:pPr>
            <w:r>
              <w:rPr>
                <w:rFonts w:hint="eastAsia" w:ascii="Times New Roman" w:hAnsi="方正仿宋_GBK" w:eastAsia="方正仿宋_GBK"/>
                <w:b/>
                <w:kern w:val="0"/>
                <w:sz w:val="21"/>
                <w:szCs w:val="24"/>
              </w:rPr>
              <w:t>第一百二十四条第三款</w:t>
            </w:r>
            <w:r>
              <w:rPr>
                <w:rFonts w:hint="default" w:ascii="Times New Roman" w:hAnsi="Times New Roman" w:eastAsia="方正仿宋_GBK"/>
                <w:b/>
                <w:kern w:val="0"/>
                <w:sz w:val="21"/>
                <w:szCs w:val="24"/>
              </w:rPr>
              <w:t xml:space="preserve">  </w:t>
            </w:r>
            <w:r>
              <w:rPr>
                <w:rFonts w:hint="eastAsia" w:ascii="Times New Roman" w:hAnsi="方正仿宋_GBK" w:eastAsia="方正仿宋_GBK"/>
                <w:kern w:val="0"/>
                <w:sz w:val="21"/>
                <w:szCs w:val="24"/>
              </w:rPr>
              <w:t>生产食品相关产品新品种，未通过安全性评估，或者生产不符合食品安全标准的食品相关产品的，由县级以上人民政府食品</w:t>
            </w:r>
          </w:p>
          <w:p w14:paraId="7143AF6B">
            <w:pPr>
              <w:widowControl/>
              <w:adjustRightInd w:val="0"/>
              <w:snapToGrid w:val="0"/>
              <w:spacing w:beforeLines="0" w:afterLines="0" w:line="24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安全监督管理部门依照第一款规定给予处罚。</w:t>
            </w:r>
          </w:p>
        </w:tc>
      </w:tr>
      <w:tr w14:paraId="1D15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77DA3AC3">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0BF83C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63</w:t>
            </w:r>
          </w:p>
        </w:tc>
        <w:tc>
          <w:tcPr>
            <w:tcW w:w="1712" w:type="dxa"/>
            <w:tcBorders>
              <w:top w:val="nil"/>
              <w:left w:val="nil"/>
              <w:bottom w:val="single" w:color="auto" w:sz="4" w:space="0"/>
              <w:right w:val="single" w:color="auto" w:sz="4" w:space="0"/>
              <w:tl2br w:val="nil"/>
              <w:tr2bl w:val="nil"/>
            </w:tcBorders>
            <w:noWrap w:val="0"/>
            <w:vAlign w:val="center"/>
          </w:tcPr>
          <w:p w14:paraId="6CBD9AD5">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网络餐饮服务第三方平台提供者未按要求建立、执行并公开相关制度</w:t>
            </w:r>
          </w:p>
        </w:tc>
        <w:tc>
          <w:tcPr>
            <w:tcW w:w="2421" w:type="dxa"/>
            <w:tcBorders>
              <w:top w:val="nil"/>
              <w:left w:val="nil"/>
              <w:bottom w:val="single" w:color="auto" w:sz="4" w:space="0"/>
              <w:right w:val="single" w:color="auto" w:sz="4" w:space="0"/>
              <w:tl2br w:val="nil"/>
              <w:tr2bl w:val="nil"/>
            </w:tcBorders>
            <w:noWrap w:val="0"/>
            <w:vAlign w:val="center"/>
          </w:tcPr>
          <w:p w14:paraId="4A743530">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030B7D02">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1D150C97">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3556A386">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48E7314E">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《网络餐饮服务食品安全监督管理办法》第六条  </w:t>
            </w:r>
            <w:r>
              <w:rPr>
                <w:rFonts w:hint="eastAsia" w:ascii="Times New Roman" w:hAnsi="方正仿宋_GBK" w:eastAsia="方正仿宋_GBK"/>
                <w:kern w:val="0"/>
                <w:sz w:val="21"/>
                <w:szCs w:val="24"/>
              </w:rPr>
              <w:t>网络餐饮服务第三方平台提供者应当建立并执行入网餐饮服务提供者审查登记、食品安全违法行为制止及报告、严重违法行为平台服务停止、食品安全事故处置等制度，并在网络平台上公开相关制度。</w:t>
            </w:r>
          </w:p>
        </w:tc>
        <w:tc>
          <w:tcPr>
            <w:tcW w:w="4766" w:type="dxa"/>
            <w:tcBorders>
              <w:top w:val="nil"/>
              <w:left w:val="nil"/>
              <w:bottom w:val="single" w:color="auto" w:sz="4" w:space="0"/>
              <w:right w:val="single" w:color="auto" w:sz="4" w:space="0"/>
              <w:tl2br w:val="nil"/>
              <w:tr2bl w:val="nil"/>
            </w:tcBorders>
            <w:noWrap w:val="0"/>
            <w:vAlign w:val="center"/>
          </w:tcPr>
          <w:p w14:paraId="50688685">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《网络餐饮服务食品安全监督管理办法》第二十九条  </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违反本办法第六条规定，网络餐饮服务第三方平台提</w:t>
            </w:r>
          </w:p>
          <w:p w14:paraId="2EDB0053">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kern w:val="0"/>
                <w:sz w:val="21"/>
                <w:szCs w:val="24"/>
              </w:rPr>
              <w:t>供者未按要求建立、执行并公开相关制度的，由县级以上地方市场监督管理部门责令改正，给予警告；拒不改正的，处</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134A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1E400687">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5CC05B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64</w:t>
            </w:r>
          </w:p>
        </w:tc>
        <w:tc>
          <w:tcPr>
            <w:tcW w:w="1712" w:type="dxa"/>
            <w:tcBorders>
              <w:top w:val="nil"/>
              <w:left w:val="nil"/>
              <w:bottom w:val="single" w:color="auto" w:sz="4" w:space="0"/>
              <w:right w:val="single" w:color="auto" w:sz="4" w:space="0"/>
              <w:tl2br w:val="nil"/>
              <w:tr2bl w:val="nil"/>
            </w:tcBorders>
            <w:noWrap w:val="0"/>
            <w:vAlign w:val="center"/>
          </w:tcPr>
          <w:p w14:paraId="198204D6">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网络餐饮服务第三方平台提供者未设置专门的食品安全管理机构，配备专职食品安全管理人员，或者未按要求对食品安全管理人员进行培训、考核并保存记录</w:t>
            </w:r>
          </w:p>
        </w:tc>
        <w:tc>
          <w:tcPr>
            <w:tcW w:w="2421" w:type="dxa"/>
            <w:tcBorders>
              <w:top w:val="nil"/>
              <w:left w:val="nil"/>
              <w:bottom w:val="single" w:color="auto" w:sz="4" w:space="0"/>
              <w:right w:val="single" w:color="auto" w:sz="4" w:space="0"/>
              <w:tl2br w:val="nil"/>
              <w:tr2bl w:val="nil"/>
            </w:tcBorders>
            <w:noWrap w:val="0"/>
            <w:vAlign w:val="center"/>
          </w:tcPr>
          <w:p w14:paraId="76A6F545">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3A4EA962">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349BB2D4">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4ED77B7A">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5146341F">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《网络餐饮服务食品安全监督管理办法》第七条  </w:t>
            </w:r>
            <w:r>
              <w:rPr>
                <w:rFonts w:hint="eastAsia" w:ascii="Times New Roman" w:hAnsi="方正仿宋_GBK" w:eastAsia="方正仿宋_GBK"/>
                <w:kern w:val="0"/>
                <w:sz w:val="21"/>
                <w:szCs w:val="24"/>
              </w:rPr>
              <w:t>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tc>
        <w:tc>
          <w:tcPr>
            <w:tcW w:w="4766" w:type="dxa"/>
            <w:tcBorders>
              <w:top w:val="nil"/>
              <w:left w:val="nil"/>
              <w:bottom w:val="single" w:color="auto" w:sz="4" w:space="0"/>
              <w:right w:val="single" w:color="auto" w:sz="4" w:space="0"/>
              <w:tl2br w:val="nil"/>
              <w:tr2bl w:val="nil"/>
            </w:tcBorders>
            <w:noWrap w:val="0"/>
            <w:vAlign w:val="center"/>
          </w:tcPr>
          <w:p w14:paraId="54EBD39E">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《网络餐饮服务食品安全监督管</w:t>
            </w:r>
            <w:r>
              <w:rPr>
                <w:rFonts w:hint="default" w:ascii="Times New Roman" w:hAnsi="方正仿宋_GBK" w:eastAsia="方正仿宋_GBK"/>
                <w:b/>
                <w:kern w:val="0"/>
                <w:sz w:val="21"/>
                <w:szCs w:val="24"/>
              </w:rPr>
              <w:t xml:space="preserve"> </w:t>
            </w:r>
            <w:r>
              <w:rPr>
                <w:rFonts w:hint="eastAsia" w:ascii="Times New Roman" w:hAnsi="方正仿宋_GBK" w:eastAsia="方正仿宋_GBK"/>
                <w:b/>
                <w:kern w:val="0"/>
                <w:sz w:val="21"/>
                <w:szCs w:val="24"/>
              </w:rPr>
              <w:t>理办法》第三十条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4D43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1621C1AA">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15B12C1F">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65</w:t>
            </w:r>
          </w:p>
        </w:tc>
        <w:tc>
          <w:tcPr>
            <w:tcW w:w="1712" w:type="dxa"/>
            <w:tcBorders>
              <w:top w:val="nil"/>
              <w:left w:val="nil"/>
              <w:bottom w:val="single" w:color="auto" w:sz="4" w:space="0"/>
              <w:right w:val="single" w:color="auto" w:sz="4" w:space="0"/>
              <w:tl2br w:val="nil"/>
              <w:tr2bl w:val="nil"/>
            </w:tcBorders>
            <w:noWrap w:val="0"/>
            <w:vAlign w:val="center"/>
          </w:tcPr>
          <w:p w14:paraId="079DAF87">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网络餐饮服务第三方平台提供者和入网餐饮服务提供者未按要求进行信息公示和更新</w:t>
            </w:r>
          </w:p>
        </w:tc>
        <w:tc>
          <w:tcPr>
            <w:tcW w:w="2421" w:type="dxa"/>
            <w:tcBorders>
              <w:top w:val="nil"/>
              <w:left w:val="nil"/>
              <w:bottom w:val="single" w:color="auto" w:sz="4" w:space="0"/>
              <w:right w:val="single" w:color="auto" w:sz="4" w:space="0"/>
              <w:tl2br w:val="nil"/>
              <w:tr2bl w:val="nil"/>
            </w:tcBorders>
            <w:noWrap w:val="0"/>
            <w:vAlign w:val="center"/>
          </w:tcPr>
          <w:p w14:paraId="0BAF9F89">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7232C884">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597F93B2">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6E43317F">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3DB6D922">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《网络餐饮服务食品安全监督管理办法》第九条  </w:t>
            </w:r>
            <w:r>
              <w:rPr>
                <w:rFonts w:hint="eastAsia" w:ascii="Times New Roman" w:hAnsi="方正仿宋_GBK" w:eastAsia="方正仿宋_GBK"/>
                <w:kern w:val="0"/>
                <w:sz w:val="21"/>
                <w:szCs w:val="24"/>
              </w:rPr>
              <w:t>网络餐饮服务第三方平台提供者和入网餐饮服务提供者应当在餐饮服务经营活动主页面公示餐饮服务提供者的食品经营许可证。食品经营许可等信息发生变更的，应当及时更新。</w:t>
            </w:r>
          </w:p>
          <w:p w14:paraId="26800BB9">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第十条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网络餐饮服务第三方平台提供者和入网餐饮服务提供者应当在网上公示餐饮服务提供者的名称、地址、量化分级信息，公示的信息应当真实。</w:t>
            </w:r>
          </w:p>
          <w:p w14:paraId="0CBBF5DF">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第十一条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入网餐饮服务提供者应当在网上公示菜品名称和主要原料名称，公示的信息应当真实。</w:t>
            </w:r>
          </w:p>
        </w:tc>
        <w:tc>
          <w:tcPr>
            <w:tcW w:w="4766" w:type="dxa"/>
            <w:tcBorders>
              <w:top w:val="nil"/>
              <w:left w:val="nil"/>
              <w:bottom w:val="single" w:color="auto" w:sz="4" w:space="0"/>
              <w:right w:val="single" w:color="auto" w:sz="4" w:space="0"/>
              <w:tl2br w:val="nil"/>
              <w:tr2bl w:val="nil"/>
            </w:tcBorders>
            <w:noWrap w:val="0"/>
            <w:vAlign w:val="center"/>
          </w:tcPr>
          <w:p w14:paraId="790B054C">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《网络餐饮服务食品安全监督管理办法》第三十二条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违反本办法第九条、第十条、第十一条规定，网络餐</w:t>
            </w:r>
          </w:p>
          <w:p w14:paraId="194A8869">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kern w:val="0"/>
                <w:sz w:val="21"/>
                <w:szCs w:val="24"/>
              </w:rPr>
              <w:t>饮服务第三方平台提供者和入网餐饮服务提供者未按要求进行信息公示和更新的，由县级以上地方市场监督管理部门责令改正，给予警告；拒不改正的，处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7973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7FAB354D">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A6BB5E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66</w:t>
            </w:r>
          </w:p>
        </w:tc>
        <w:tc>
          <w:tcPr>
            <w:tcW w:w="1712" w:type="dxa"/>
            <w:tcBorders>
              <w:top w:val="nil"/>
              <w:left w:val="nil"/>
              <w:bottom w:val="single" w:color="auto" w:sz="4" w:space="0"/>
              <w:right w:val="single" w:color="auto" w:sz="4" w:space="0"/>
              <w:tl2br w:val="nil"/>
              <w:tr2bl w:val="nil"/>
            </w:tcBorders>
            <w:noWrap w:val="0"/>
            <w:vAlign w:val="center"/>
          </w:tcPr>
          <w:p w14:paraId="2E26C7C8">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通过自建网站交易的食品生产经营者未履行相应备案义务</w:t>
            </w:r>
          </w:p>
        </w:tc>
        <w:tc>
          <w:tcPr>
            <w:tcW w:w="2421" w:type="dxa"/>
            <w:tcBorders>
              <w:top w:val="nil"/>
              <w:left w:val="nil"/>
              <w:bottom w:val="single" w:color="auto" w:sz="4" w:space="0"/>
              <w:right w:val="single" w:color="auto" w:sz="4" w:space="0"/>
              <w:tl2br w:val="nil"/>
              <w:tr2bl w:val="nil"/>
            </w:tcBorders>
            <w:noWrap w:val="0"/>
            <w:vAlign w:val="center"/>
          </w:tcPr>
          <w:p w14:paraId="4E2BB42C">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64DC7BD1">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0AC2B24E">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612ABE93">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6BFDB0D2">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《网络食品安全违法行为查处办法》第八条第二款</w:t>
            </w:r>
            <w:r>
              <w:rPr>
                <w:rFonts w:hint="eastAsia" w:ascii="Times New Roman" w:hAnsi="方正仿宋_GBK" w:eastAsia="方正仿宋_GBK"/>
                <w:kern w:val="0"/>
                <w:sz w:val="21"/>
                <w:szCs w:val="24"/>
              </w:rPr>
              <w:t xml:space="preserve"> 通过自建网站交易的食品生产经营者应当在通信主管部门批准后</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30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个工作日内，向所在地市、县级食品药品监督管理部门备案，取得备案号。</w:t>
            </w:r>
          </w:p>
          <w:p w14:paraId="046E4BBB">
            <w:pPr>
              <w:widowControl/>
              <w:spacing w:beforeLines="0" w:afterLines="0" w:line="260" w:lineRule="exact"/>
              <w:jc w:val="left"/>
              <w:rPr>
                <w:rFonts w:hint="default" w:ascii="Times New Roman" w:hAnsi="方正仿宋_GBK" w:eastAsia="方正仿宋_GBK"/>
                <w:b/>
                <w:kern w:val="0"/>
                <w:sz w:val="21"/>
                <w:szCs w:val="24"/>
              </w:rPr>
            </w:pPr>
          </w:p>
        </w:tc>
        <w:tc>
          <w:tcPr>
            <w:tcW w:w="4766" w:type="dxa"/>
            <w:tcBorders>
              <w:top w:val="nil"/>
              <w:left w:val="nil"/>
              <w:bottom w:val="single" w:color="auto" w:sz="4" w:space="0"/>
              <w:right w:val="single" w:color="auto" w:sz="4" w:space="0"/>
              <w:tl2br w:val="nil"/>
              <w:tr2bl w:val="nil"/>
            </w:tcBorders>
            <w:noWrap w:val="0"/>
            <w:vAlign w:val="center"/>
          </w:tcPr>
          <w:p w14:paraId="20C365C2">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《网络食品安全违法行为查处办法》第二十九条  </w:t>
            </w:r>
            <w:r>
              <w:rPr>
                <w:rFonts w:hint="eastAsia" w:ascii="Times New Roman" w:hAnsi="方正仿宋_GBK" w:eastAsia="方正仿宋_GBK"/>
                <w:kern w:val="0"/>
                <w:sz w:val="21"/>
                <w:szCs w:val="24"/>
              </w:rPr>
              <w:t>违反本办法第八条规定，网络食品交易第三方平台提供者和通过自建网站交易的食品生产经营者未履行相应备案义务的，由县级以上地方市场监督管理部门责令改正，给予警告</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6978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0F776BFE">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C164BA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67</w:t>
            </w:r>
          </w:p>
        </w:tc>
        <w:tc>
          <w:tcPr>
            <w:tcW w:w="1712" w:type="dxa"/>
            <w:tcBorders>
              <w:top w:val="nil"/>
              <w:left w:val="nil"/>
              <w:bottom w:val="single" w:color="auto" w:sz="4" w:space="0"/>
              <w:right w:val="single" w:color="auto" w:sz="4" w:space="0"/>
              <w:tl2br w:val="nil"/>
              <w:tr2bl w:val="nil"/>
            </w:tcBorders>
            <w:noWrap w:val="0"/>
            <w:vAlign w:val="center"/>
          </w:tcPr>
          <w:p w14:paraId="62088D62">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通过自建网站交易的食品生产经营者不具备数据备份、故障恢复等技术条件，不能保障网络食品交易数据和资料的可靠性与安全性</w:t>
            </w:r>
          </w:p>
        </w:tc>
        <w:tc>
          <w:tcPr>
            <w:tcW w:w="2421" w:type="dxa"/>
            <w:tcBorders>
              <w:top w:val="nil"/>
              <w:left w:val="nil"/>
              <w:bottom w:val="single" w:color="auto" w:sz="4" w:space="0"/>
              <w:right w:val="single" w:color="auto" w:sz="4" w:space="0"/>
              <w:tl2br w:val="nil"/>
              <w:tr2bl w:val="nil"/>
            </w:tcBorders>
            <w:noWrap w:val="0"/>
            <w:vAlign w:val="center"/>
          </w:tcPr>
          <w:p w14:paraId="3B45B86B">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5273B1CE">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32A12B78">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0C4C46A9">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22E74438">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《网络食品安全违法行为查处办法》第九条  </w:t>
            </w:r>
            <w:r>
              <w:rPr>
                <w:rFonts w:hint="eastAsia" w:ascii="Times New Roman" w:hAnsi="方正仿宋_GBK" w:eastAsia="方正仿宋_GBK"/>
                <w:kern w:val="0"/>
                <w:sz w:val="21"/>
                <w:szCs w:val="24"/>
              </w:rPr>
              <w:t>网络食品交易第三方平台提供者和通过自建网站交易的食品生产经营者应当具备数据备份、故障恢复等技术条件，保障网络食品交易数据和资料的可靠性与安全性。</w:t>
            </w:r>
          </w:p>
        </w:tc>
        <w:tc>
          <w:tcPr>
            <w:tcW w:w="4766" w:type="dxa"/>
            <w:tcBorders>
              <w:top w:val="nil"/>
              <w:left w:val="nil"/>
              <w:bottom w:val="single" w:color="auto" w:sz="4" w:space="0"/>
              <w:right w:val="single" w:color="auto" w:sz="4" w:space="0"/>
              <w:tl2br w:val="nil"/>
              <w:tr2bl w:val="nil"/>
            </w:tcBorders>
            <w:noWrap w:val="0"/>
            <w:vAlign w:val="center"/>
          </w:tcPr>
          <w:p w14:paraId="37E6B7F4">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《网络食品安全违法行为查处办法》第三十条  </w:t>
            </w:r>
            <w:r>
              <w:rPr>
                <w:rFonts w:hint="eastAsia" w:ascii="Times New Roman" w:hAnsi="方正仿宋_GBK" w:eastAsia="方正仿宋_GBK"/>
                <w:kern w:val="0"/>
                <w:sz w:val="21"/>
                <w:szCs w:val="24"/>
              </w:rPr>
              <w:t>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万元罚款。</w:t>
            </w:r>
          </w:p>
        </w:tc>
      </w:tr>
      <w:tr w14:paraId="3B26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65E1B805">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371C547">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68</w:t>
            </w:r>
          </w:p>
        </w:tc>
        <w:tc>
          <w:tcPr>
            <w:tcW w:w="1712" w:type="dxa"/>
            <w:tcBorders>
              <w:top w:val="nil"/>
              <w:left w:val="nil"/>
              <w:bottom w:val="single" w:color="auto" w:sz="4" w:space="0"/>
              <w:right w:val="single" w:color="auto" w:sz="4" w:space="0"/>
              <w:tl2br w:val="nil"/>
              <w:tr2bl w:val="nil"/>
            </w:tcBorders>
            <w:noWrap w:val="0"/>
            <w:vAlign w:val="center"/>
          </w:tcPr>
          <w:p w14:paraId="31A6C9D4">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网络食品交易第三方平台提供者未按要求建立入网食品生产经营者审查登记、食品安全自查、食品安全违法行为制止及报告、严重违法行为平台服务停止、食品安全投诉举报处理等制度的或者未公开以上制度</w:t>
            </w:r>
          </w:p>
        </w:tc>
        <w:tc>
          <w:tcPr>
            <w:tcW w:w="2421" w:type="dxa"/>
            <w:tcBorders>
              <w:top w:val="nil"/>
              <w:left w:val="nil"/>
              <w:bottom w:val="single" w:color="auto" w:sz="4" w:space="0"/>
              <w:right w:val="single" w:color="auto" w:sz="4" w:space="0"/>
              <w:tl2br w:val="nil"/>
              <w:tr2bl w:val="nil"/>
            </w:tcBorders>
            <w:noWrap w:val="0"/>
            <w:vAlign w:val="center"/>
          </w:tcPr>
          <w:p w14:paraId="0BD8E96F">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09AB1ECF">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20B7C60C">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1D08C920">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40B02AF1">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《网络食品安全违法行为查处办法》第十条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网络食品交易第三方平台提供者应当建立入网食品生产经营者审查登记、食品安全自查、食品安全违法行为制止及报告、严重违法行为平台服务停止、食品安全投诉举报处理等制度，并在网络平台上公开。</w:t>
            </w:r>
          </w:p>
        </w:tc>
        <w:tc>
          <w:tcPr>
            <w:tcW w:w="4766" w:type="dxa"/>
            <w:tcBorders>
              <w:top w:val="nil"/>
              <w:left w:val="nil"/>
              <w:bottom w:val="single" w:color="auto" w:sz="4" w:space="0"/>
              <w:right w:val="single" w:color="auto" w:sz="4" w:space="0"/>
              <w:tl2br w:val="nil"/>
              <w:tr2bl w:val="nil"/>
            </w:tcBorders>
            <w:noWrap w:val="0"/>
            <w:vAlign w:val="center"/>
          </w:tcPr>
          <w:p w14:paraId="6895691F">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《网络食品安全违法行为查处办法》第三十一条  </w:t>
            </w:r>
            <w:r>
              <w:rPr>
                <w:rFonts w:hint="eastAsia" w:ascii="Times New Roman" w:hAnsi="方正仿宋_GBK" w:eastAsia="方正仿宋_GBK"/>
                <w:kern w:val="0"/>
                <w:sz w:val="21"/>
                <w:szCs w:val="24"/>
              </w:rPr>
              <w:t>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3FCB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2FB1C0EC">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FE2BE02">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69</w:t>
            </w:r>
          </w:p>
        </w:tc>
        <w:tc>
          <w:tcPr>
            <w:tcW w:w="1712" w:type="dxa"/>
            <w:tcBorders>
              <w:top w:val="nil"/>
              <w:left w:val="nil"/>
              <w:bottom w:val="single" w:color="auto" w:sz="4" w:space="0"/>
              <w:right w:val="single" w:color="auto" w:sz="4" w:space="0"/>
              <w:tl2br w:val="nil"/>
              <w:tr2bl w:val="nil"/>
            </w:tcBorders>
            <w:noWrap w:val="0"/>
            <w:vAlign w:val="center"/>
          </w:tcPr>
          <w:p w14:paraId="723F5D01">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网络食品交易第三方平台提供者未建立入网食品生产经营者档案、记录入网食品生产经营者相关信息</w:t>
            </w:r>
          </w:p>
        </w:tc>
        <w:tc>
          <w:tcPr>
            <w:tcW w:w="2421" w:type="dxa"/>
            <w:tcBorders>
              <w:top w:val="nil"/>
              <w:left w:val="nil"/>
              <w:bottom w:val="single" w:color="auto" w:sz="4" w:space="0"/>
              <w:right w:val="single" w:color="auto" w:sz="4" w:space="0"/>
              <w:tl2br w:val="nil"/>
              <w:tr2bl w:val="nil"/>
            </w:tcBorders>
            <w:noWrap w:val="0"/>
            <w:vAlign w:val="center"/>
          </w:tcPr>
          <w:p w14:paraId="02D0E7A4">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4B7EBF35">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0DC1B287">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0A148D9C">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21545AD9">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《网络食品安全违法行为查处办法》第十二条</w:t>
            </w:r>
            <w:r>
              <w:rPr>
                <w:rFonts w:hint="default" w:ascii="Times New Roman" w:hAnsi="方正仿宋_GBK" w:eastAsia="方正仿宋_GBK"/>
                <w:b/>
                <w:kern w:val="0"/>
                <w:sz w:val="21"/>
                <w:szCs w:val="24"/>
              </w:rPr>
              <w:t xml:space="preserve"> </w:t>
            </w:r>
            <w:r>
              <w:rPr>
                <w:rFonts w:hint="eastAsia" w:ascii="Times New Roman" w:hAnsi="方正仿宋_GBK" w:eastAsia="方正仿宋_GBK"/>
                <w:kern w:val="0"/>
                <w:sz w:val="21"/>
                <w:szCs w:val="24"/>
              </w:rPr>
              <w:t xml:space="preserve"> 网络食品交易第三方平台提供者应当建立入网食品生产经营者档案，记录入网食品生产经营者的基本情况、食品安全管理人员等信息。</w:t>
            </w:r>
          </w:p>
        </w:tc>
        <w:tc>
          <w:tcPr>
            <w:tcW w:w="4766" w:type="dxa"/>
            <w:tcBorders>
              <w:top w:val="nil"/>
              <w:left w:val="nil"/>
              <w:bottom w:val="single" w:color="auto" w:sz="4" w:space="0"/>
              <w:right w:val="single" w:color="auto" w:sz="4" w:space="0"/>
              <w:tl2br w:val="nil"/>
              <w:tr2bl w:val="nil"/>
            </w:tcBorders>
            <w:noWrap w:val="0"/>
            <w:vAlign w:val="center"/>
          </w:tcPr>
          <w:p w14:paraId="712D1285">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《网络食品安全违法行为查处办法》第三十三条  </w:t>
            </w:r>
            <w:r>
              <w:rPr>
                <w:rFonts w:hint="eastAsia" w:ascii="Times New Roman" w:hAnsi="方正仿宋_GBK" w:eastAsia="方正仿宋_GBK"/>
                <w:kern w:val="0"/>
                <w:sz w:val="21"/>
                <w:szCs w:val="24"/>
              </w:rPr>
              <w:t>违反本办法第十二条规定，网络食品交易第三方平台提供者未建立入网食品生产经营者档案、记录入网食品生产经营者相关信息的，由县级以上地方市场监督管理部门责令改正，给予警告；拒不改正的，处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369A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4A365D86">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3DDBE5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70</w:t>
            </w:r>
          </w:p>
        </w:tc>
        <w:tc>
          <w:tcPr>
            <w:tcW w:w="1712" w:type="dxa"/>
            <w:tcBorders>
              <w:top w:val="nil"/>
              <w:left w:val="nil"/>
              <w:bottom w:val="single" w:color="auto" w:sz="4" w:space="0"/>
              <w:right w:val="single" w:color="auto" w:sz="4" w:space="0"/>
              <w:tl2br w:val="nil"/>
              <w:tr2bl w:val="nil"/>
            </w:tcBorders>
            <w:noWrap w:val="0"/>
            <w:vAlign w:val="center"/>
          </w:tcPr>
          <w:p w14:paraId="0CD8BD4F">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网络食品交易第三方平台提供者未设置专门的网络食品安全管理机构或者指定专职食品安全管理人员对平台上的食品安全经营行为及信息进行检查</w:t>
            </w:r>
          </w:p>
        </w:tc>
        <w:tc>
          <w:tcPr>
            <w:tcW w:w="2421" w:type="dxa"/>
            <w:tcBorders>
              <w:top w:val="nil"/>
              <w:left w:val="nil"/>
              <w:bottom w:val="single" w:color="auto" w:sz="4" w:space="0"/>
              <w:right w:val="single" w:color="auto" w:sz="4" w:space="0"/>
              <w:tl2br w:val="nil"/>
              <w:tr2bl w:val="nil"/>
            </w:tcBorders>
            <w:noWrap w:val="0"/>
            <w:vAlign w:val="center"/>
          </w:tcPr>
          <w:p w14:paraId="52C7E67E">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469B83AB">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2FCAC8CD">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1AED072A">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2CD09AE7">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《网络食品安全违法行为查处办法》第十四条第一款</w:t>
            </w:r>
            <w:r>
              <w:rPr>
                <w:rFonts w:hint="eastAsia" w:ascii="Times New Roman" w:hAnsi="方正仿宋_GBK" w:eastAsia="方正仿宋_GBK"/>
                <w:kern w:val="0"/>
                <w:sz w:val="21"/>
                <w:szCs w:val="24"/>
              </w:rPr>
              <w:t>网络食品交易第三方平台提供者应当设置专门的网络食品安全管理机构或者指定专职食品安全管理人员，对平台上的食品经营行为及信息进行检查。</w:t>
            </w:r>
          </w:p>
          <w:p w14:paraId="3E8ACC1E">
            <w:pPr>
              <w:widowControl/>
              <w:spacing w:beforeLines="0" w:afterLines="0" w:line="260" w:lineRule="exact"/>
              <w:jc w:val="left"/>
              <w:rPr>
                <w:rFonts w:hint="default" w:ascii="Times New Roman" w:hAnsi="方正仿宋_GBK" w:eastAsia="方正仿宋_GBK"/>
                <w:b/>
                <w:kern w:val="0"/>
                <w:sz w:val="21"/>
                <w:szCs w:val="24"/>
              </w:rPr>
            </w:pPr>
          </w:p>
        </w:tc>
        <w:tc>
          <w:tcPr>
            <w:tcW w:w="4766" w:type="dxa"/>
            <w:tcBorders>
              <w:top w:val="nil"/>
              <w:left w:val="nil"/>
              <w:bottom w:val="single" w:color="auto" w:sz="4" w:space="0"/>
              <w:right w:val="single" w:color="auto" w:sz="4" w:space="0"/>
              <w:tl2br w:val="nil"/>
              <w:tr2bl w:val="nil"/>
            </w:tcBorders>
            <w:noWrap w:val="0"/>
            <w:vAlign w:val="center"/>
          </w:tcPr>
          <w:p w14:paraId="13C6F657">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《网络食品安全违法行为查处办法》第三十五条  </w:t>
            </w:r>
            <w:r>
              <w:rPr>
                <w:rFonts w:hint="eastAsia" w:ascii="Times New Roman" w:hAnsi="方正仿宋_GBK" w:eastAsia="方正仿宋_GBK"/>
                <w:kern w:val="0"/>
                <w:sz w:val="21"/>
                <w:szCs w:val="24"/>
              </w:rPr>
              <w:t>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1FD9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71CCA949">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3BCCE3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71</w:t>
            </w:r>
          </w:p>
        </w:tc>
        <w:tc>
          <w:tcPr>
            <w:tcW w:w="1712" w:type="dxa"/>
            <w:tcBorders>
              <w:top w:val="nil"/>
              <w:left w:val="nil"/>
              <w:bottom w:val="single" w:color="auto" w:sz="4" w:space="0"/>
              <w:right w:val="single" w:color="auto" w:sz="4" w:space="0"/>
              <w:tl2br w:val="nil"/>
              <w:tr2bl w:val="nil"/>
            </w:tcBorders>
            <w:noWrap w:val="0"/>
            <w:vAlign w:val="center"/>
          </w:tcPr>
          <w:p w14:paraId="0D01B737">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入网食品生产经</w:t>
            </w:r>
          </w:p>
          <w:p w14:paraId="06FFF811">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营者未按要求进行信息公示</w:t>
            </w:r>
          </w:p>
        </w:tc>
        <w:tc>
          <w:tcPr>
            <w:tcW w:w="2421" w:type="dxa"/>
            <w:tcBorders>
              <w:top w:val="nil"/>
              <w:left w:val="nil"/>
              <w:bottom w:val="single" w:color="auto" w:sz="4" w:space="0"/>
              <w:right w:val="single" w:color="auto" w:sz="4" w:space="0"/>
              <w:tl2br w:val="nil"/>
              <w:tr2bl w:val="nil"/>
            </w:tcBorders>
            <w:noWrap w:val="0"/>
            <w:vAlign w:val="center"/>
          </w:tcPr>
          <w:p w14:paraId="2C5E92FE">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4373EF2A">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79FF92D5">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71BE727E">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5B9E64B5">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《网络食品安全违法行为查处办法》第十八条  </w:t>
            </w:r>
            <w:r>
              <w:rPr>
                <w:rFonts w:hint="eastAsia" w:ascii="Times New Roman" w:hAnsi="方正仿宋_GBK" w:eastAsia="方正仿宋_GBK"/>
                <w:kern w:val="0"/>
                <w:sz w:val="21"/>
                <w:szCs w:val="24"/>
              </w:rPr>
              <w:t>通过第三方平台进行交易的食品生产经营者应当在其经营活动主页面显著位置公示其食品生产经营许可证。通过自建网站交易的食品生产经营者应当在其网站首页显著位置公示营业执照、食品生产经营许可证。</w:t>
            </w:r>
          </w:p>
          <w:p w14:paraId="7231A148">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kern w:val="0"/>
                <w:sz w:val="21"/>
                <w:szCs w:val="24"/>
              </w:rPr>
              <w:t>餐饮服务提供者还应当同时公示其餐饮服务食品安全监督量化分级管理信息。相关信息应当画面清晰，容易辨识。</w:t>
            </w:r>
          </w:p>
        </w:tc>
        <w:tc>
          <w:tcPr>
            <w:tcW w:w="4766" w:type="dxa"/>
            <w:tcBorders>
              <w:top w:val="nil"/>
              <w:left w:val="nil"/>
              <w:bottom w:val="single" w:color="auto" w:sz="4" w:space="0"/>
              <w:right w:val="single" w:color="auto" w:sz="4" w:space="0"/>
              <w:tl2br w:val="nil"/>
              <w:tr2bl w:val="nil"/>
            </w:tcBorders>
            <w:noWrap w:val="0"/>
            <w:vAlign w:val="center"/>
          </w:tcPr>
          <w:p w14:paraId="5C046829">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《网络食品安全违法行为查处办法》第四十条  </w:t>
            </w:r>
            <w:r>
              <w:rPr>
                <w:rFonts w:hint="eastAsia" w:ascii="Times New Roman" w:hAnsi="方正仿宋_GBK" w:eastAsia="方正仿宋_GBK"/>
                <w:kern w:val="0"/>
                <w:sz w:val="21"/>
                <w:szCs w:val="24"/>
              </w:rPr>
              <w:t>违反本办法第十八条规定，入网食品生产经营者未按要求进行信息公示的，由县级以上地方市场监督管理部门责令改正，给予警告；拒不改正的，处</w:t>
            </w:r>
            <w:r>
              <w:rPr>
                <w:rFonts w:hint="default" w:ascii="Times New Roman" w:hAnsi="方正仿宋_GBK" w:eastAsia="方正仿宋_GBK"/>
                <w:kern w:val="0"/>
                <w:sz w:val="21"/>
                <w:szCs w:val="24"/>
              </w:rPr>
              <w:t xml:space="preserve"> </w:t>
            </w:r>
            <w:r>
              <w:rPr>
                <w:rFonts w:hint="default" w:ascii="Times New Roman" w:hAnsi="Times New Roman" w:eastAsia="方正仿宋_GBK"/>
                <w:kern w:val="0"/>
                <w:sz w:val="21"/>
                <w:szCs w:val="24"/>
              </w:rPr>
              <w:t>5000</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 xml:space="preserve">元以上 </w:t>
            </w: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 xml:space="preserve"> </w:t>
            </w:r>
            <w:r>
              <w:rPr>
                <w:rFonts w:hint="eastAsia" w:ascii="Times New Roman" w:hAnsi="方正仿宋_GBK" w:eastAsia="方正仿宋_GBK"/>
                <w:kern w:val="0"/>
                <w:sz w:val="21"/>
                <w:szCs w:val="24"/>
              </w:rPr>
              <w:t>万元以下罚款。</w:t>
            </w:r>
          </w:p>
        </w:tc>
      </w:tr>
      <w:tr w14:paraId="1EB3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70B42AC0">
            <w:pPr>
              <w:widowControl/>
              <w:spacing w:beforeLines="0" w:afterLines="0"/>
              <w:jc w:val="center"/>
              <w:rPr>
                <w:rFonts w:hint="default" w:ascii="Times New Roman" w:hAnsi="Times New Roman" w:eastAsia="方正黑体_GBK"/>
                <w:color w:val="FF0000"/>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78194FE">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72</w:t>
            </w:r>
          </w:p>
        </w:tc>
        <w:tc>
          <w:tcPr>
            <w:tcW w:w="1712" w:type="dxa"/>
            <w:tcBorders>
              <w:top w:val="nil"/>
              <w:left w:val="nil"/>
              <w:bottom w:val="single" w:color="auto" w:sz="4" w:space="0"/>
              <w:right w:val="single" w:color="auto" w:sz="4" w:space="0"/>
              <w:tl2br w:val="nil"/>
              <w:tr2bl w:val="nil"/>
            </w:tcBorders>
            <w:noWrap w:val="0"/>
            <w:vAlign w:val="center"/>
          </w:tcPr>
          <w:p w14:paraId="4CD18A61">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餐饮服务经营者</w:t>
            </w:r>
          </w:p>
          <w:p w14:paraId="4022D32A">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诱导、误导消费者超量点餐造成明显浪费</w:t>
            </w:r>
          </w:p>
        </w:tc>
        <w:tc>
          <w:tcPr>
            <w:tcW w:w="2421" w:type="dxa"/>
            <w:tcBorders>
              <w:top w:val="nil"/>
              <w:left w:val="nil"/>
              <w:bottom w:val="single" w:color="auto" w:sz="4" w:space="0"/>
              <w:right w:val="single" w:color="auto" w:sz="4" w:space="0"/>
              <w:tl2br w:val="nil"/>
              <w:tr2bl w:val="nil"/>
            </w:tcBorders>
            <w:noWrap w:val="0"/>
            <w:vAlign w:val="center"/>
          </w:tcPr>
          <w:p w14:paraId="0398A728">
            <w:pPr>
              <w:widowControl/>
              <w:spacing w:beforeLines="0" w:afterLines="0" w:line="26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6F30725F">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70AAA5E9">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消费者人数较少；</w:t>
            </w:r>
          </w:p>
          <w:p w14:paraId="4ADE0A60">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及时改正、主动与消费者达成和解；</w:t>
            </w:r>
          </w:p>
          <w:p w14:paraId="2CE853BB">
            <w:pPr>
              <w:widowControl/>
              <w:spacing w:beforeLines="0" w:afterLines="0" w:line="26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4</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无其他危害后果。</w:t>
            </w:r>
          </w:p>
        </w:tc>
        <w:tc>
          <w:tcPr>
            <w:tcW w:w="4771" w:type="dxa"/>
            <w:tcBorders>
              <w:top w:val="nil"/>
              <w:left w:val="nil"/>
              <w:bottom w:val="single" w:color="auto" w:sz="4" w:space="0"/>
              <w:right w:val="single" w:color="auto" w:sz="4" w:space="0"/>
              <w:tl2br w:val="nil"/>
              <w:tr2bl w:val="nil"/>
            </w:tcBorders>
            <w:noWrap w:val="0"/>
            <w:vAlign w:val="center"/>
          </w:tcPr>
          <w:p w14:paraId="2C95C37E">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《中华人民共和国反食品浪费法》第七条第二款  </w:t>
            </w:r>
            <w:r>
              <w:rPr>
                <w:rFonts w:hint="eastAsia" w:ascii="Times New Roman" w:hAnsi="方正仿宋_GBK" w:eastAsia="方正仿宋_GBK"/>
                <w:kern w:val="0"/>
                <w:sz w:val="21"/>
                <w:szCs w:val="24"/>
              </w:rPr>
              <w:t>餐饮服务经营者不得诱导、误导消费者超量点餐。</w:t>
            </w:r>
          </w:p>
        </w:tc>
        <w:tc>
          <w:tcPr>
            <w:tcW w:w="4766" w:type="dxa"/>
            <w:tcBorders>
              <w:top w:val="nil"/>
              <w:left w:val="nil"/>
              <w:bottom w:val="single" w:color="auto" w:sz="4" w:space="0"/>
              <w:right w:val="single" w:color="auto" w:sz="4" w:space="0"/>
              <w:tl2br w:val="nil"/>
              <w:tr2bl w:val="nil"/>
            </w:tcBorders>
            <w:noWrap w:val="0"/>
            <w:vAlign w:val="center"/>
          </w:tcPr>
          <w:p w14:paraId="1142CB3B">
            <w:pPr>
              <w:widowControl/>
              <w:spacing w:beforeLines="0" w:afterLines="0" w:line="26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《中华人民共和国反食品浪费法》第二十八条第二款</w:t>
            </w:r>
            <w:r>
              <w:rPr>
                <w:rFonts w:hint="eastAsia" w:ascii="Times New Roman" w:hAnsi="方正仿宋_GBK" w:eastAsia="方正仿宋_GBK"/>
                <w:kern w:val="0"/>
                <w:sz w:val="21"/>
                <w:szCs w:val="24"/>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tc>
      </w:tr>
      <w:tr w14:paraId="239A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8B3F5">
            <w:pPr>
              <w:widowControl/>
              <w:spacing w:beforeLines="0" w:afterLines="0" w:line="320" w:lineRule="exact"/>
              <w:jc w:val="center"/>
              <w:rPr>
                <w:rFonts w:hint="default" w:ascii="Times New Roman" w:hAnsi="Times New Roman" w:eastAsia="方正黑体_GBK"/>
                <w:kern w:val="0"/>
                <w:sz w:val="21"/>
                <w:szCs w:val="24"/>
              </w:rPr>
            </w:pPr>
            <w:r>
              <w:rPr>
                <w:rFonts w:hint="eastAsia" w:ascii="Times New Roman" w:hAnsi="Times New Roman" w:eastAsia="方正黑体_GBK"/>
                <w:kern w:val="0"/>
                <w:sz w:val="24"/>
                <w:szCs w:val="24"/>
              </w:rPr>
              <w:t>特种设备</w:t>
            </w:r>
          </w:p>
        </w:tc>
        <w:tc>
          <w:tcPr>
            <w:tcW w:w="807" w:type="dxa"/>
            <w:tcBorders>
              <w:top w:val="nil"/>
              <w:left w:val="nil"/>
              <w:bottom w:val="single" w:color="auto" w:sz="4" w:space="0"/>
              <w:right w:val="single" w:color="auto" w:sz="4" w:space="0"/>
              <w:tl2br w:val="nil"/>
              <w:tr2bl w:val="nil"/>
            </w:tcBorders>
            <w:noWrap w:val="0"/>
            <w:vAlign w:val="center"/>
          </w:tcPr>
          <w:p w14:paraId="03B203C9">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73</w:t>
            </w:r>
          </w:p>
        </w:tc>
        <w:tc>
          <w:tcPr>
            <w:tcW w:w="1712" w:type="dxa"/>
            <w:tcBorders>
              <w:top w:val="nil"/>
              <w:left w:val="nil"/>
              <w:bottom w:val="single" w:color="auto" w:sz="4" w:space="0"/>
              <w:right w:val="single" w:color="auto" w:sz="4" w:space="0"/>
              <w:tl2br w:val="nil"/>
              <w:tr2bl w:val="nil"/>
            </w:tcBorders>
            <w:noWrap w:val="0"/>
            <w:vAlign w:val="center"/>
          </w:tcPr>
          <w:p w14:paraId="1BA3808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使用未经定期检验的特种设备</w:t>
            </w:r>
          </w:p>
        </w:tc>
        <w:tc>
          <w:tcPr>
            <w:tcW w:w="2421" w:type="dxa"/>
            <w:tcBorders>
              <w:top w:val="nil"/>
              <w:left w:val="nil"/>
              <w:bottom w:val="single" w:color="auto" w:sz="4" w:space="0"/>
              <w:right w:val="single" w:color="auto" w:sz="4" w:space="0"/>
              <w:tl2br w:val="nil"/>
              <w:tr2bl w:val="nil"/>
            </w:tcBorders>
            <w:noWrap w:val="0"/>
            <w:vAlign w:val="center"/>
          </w:tcPr>
          <w:p w14:paraId="0021467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在检验有效期届满前已向检验机构申请检验，且经检验合格；</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在检验有效期届满后、检验机构出具检验合格报告前，因生产工艺的连续或公众生活所需继续使用的，采取了必要的安全保障措施；</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5129D38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《特种设备安全法》第四十条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特种设备使用单位应当按照安全技术规范的要求，在检验合格有效期届满前一个月向特种设备检验机构提出定期检验要求。</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特种设备检验机构接到定期检验要求后，应当按照安全技术规范的要求及时进行安全性能检验。特种设备使用单位应当将定期检验标志置于该特种设备的显著位置。</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未经定期检验或者检验不合格的特种设备，不得继续使用。</w:t>
            </w:r>
          </w:p>
        </w:tc>
        <w:tc>
          <w:tcPr>
            <w:tcW w:w="4766" w:type="dxa"/>
            <w:tcBorders>
              <w:top w:val="nil"/>
              <w:left w:val="nil"/>
              <w:bottom w:val="single" w:color="auto" w:sz="4" w:space="0"/>
              <w:right w:val="single" w:color="auto" w:sz="4" w:space="0"/>
              <w:tl2br w:val="nil"/>
              <w:tr2bl w:val="nil"/>
            </w:tcBorders>
            <w:noWrap w:val="0"/>
            <w:vAlign w:val="center"/>
          </w:tcPr>
          <w:p w14:paraId="793E004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《特种设备安全法》第八十四条第一项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r>
      <w:tr w14:paraId="424D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09AA2">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464EA2D8">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74</w:t>
            </w:r>
          </w:p>
        </w:tc>
        <w:tc>
          <w:tcPr>
            <w:tcW w:w="1712" w:type="dxa"/>
            <w:tcBorders>
              <w:top w:val="nil"/>
              <w:left w:val="nil"/>
              <w:bottom w:val="single" w:color="auto" w:sz="4" w:space="0"/>
              <w:right w:val="single" w:color="auto" w:sz="4" w:space="0"/>
              <w:tl2br w:val="nil"/>
              <w:tr2bl w:val="nil"/>
            </w:tcBorders>
            <w:noWrap w:val="0"/>
            <w:vAlign w:val="center"/>
          </w:tcPr>
          <w:p w14:paraId="1B3579D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电梯维护保养单位未按照《特种设备安全法》以及安全技术规范的要求，进行电梯维护保养</w:t>
            </w:r>
          </w:p>
        </w:tc>
        <w:tc>
          <w:tcPr>
            <w:tcW w:w="2421" w:type="dxa"/>
            <w:tcBorders>
              <w:top w:val="nil"/>
              <w:left w:val="nil"/>
              <w:bottom w:val="single" w:color="auto" w:sz="4" w:space="0"/>
              <w:right w:val="single" w:color="auto" w:sz="4" w:space="0"/>
              <w:tl2br w:val="nil"/>
              <w:tr2bl w:val="nil"/>
            </w:tcBorders>
            <w:noWrap w:val="0"/>
            <w:vAlign w:val="center"/>
          </w:tcPr>
          <w:p w14:paraId="76E9D04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同时具备下列条件的：</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在维护保养中，已严格执行安全技术规范对维保项目和维保间隔的要求，保证电梯安全性能，并已落实现场安全防护措施；</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仅维保记录填写有误；</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没有造成危害后果；</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9FB8DB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《特种设备安全法》第四十五条第二款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电梯的维护保养单位应当在维护保养中严格执行安全技术规范的要求，保证其维护保养的电梯的安全性能，并负责落实现场安全防护措施，保证施工安全。</w:t>
            </w:r>
          </w:p>
        </w:tc>
        <w:tc>
          <w:tcPr>
            <w:tcW w:w="4766" w:type="dxa"/>
            <w:tcBorders>
              <w:top w:val="nil"/>
              <w:left w:val="nil"/>
              <w:bottom w:val="single" w:color="auto" w:sz="4" w:space="0"/>
              <w:right w:val="single" w:color="auto" w:sz="4" w:space="0"/>
              <w:tl2br w:val="nil"/>
              <w:tr2bl w:val="nil"/>
            </w:tcBorders>
            <w:noWrap w:val="0"/>
            <w:vAlign w:val="center"/>
          </w:tcPr>
          <w:p w14:paraId="326A6C4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《特种设备安全法》第八十八条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违反本法规定，未经许可，擅自从事电梯维护保养的，责令停止违法行为，处一万元以上十万元以下罚款；有违法所得的，没收违法所得。</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电梯的维护保养单位未按照本法规定以及安全技术规范的要求，进行电梯维护保养的，依照前款规定处罚。</w:t>
            </w:r>
          </w:p>
        </w:tc>
      </w:tr>
      <w:tr w14:paraId="2870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FF0E63">
            <w:pPr>
              <w:widowControl/>
              <w:spacing w:beforeLines="0" w:afterLines="0" w:line="320" w:lineRule="exact"/>
              <w:jc w:val="center"/>
              <w:rPr>
                <w:rFonts w:hint="default" w:ascii="Times New Roman" w:hAnsi="Times New Roman" w:eastAsia="方正黑体_GBK"/>
                <w:kern w:val="0"/>
                <w:sz w:val="21"/>
                <w:szCs w:val="24"/>
              </w:rPr>
            </w:pPr>
            <w:r>
              <w:rPr>
                <w:rFonts w:hint="eastAsia" w:ascii="Times New Roman" w:hAnsi="Times New Roman" w:eastAsia="方正黑体_GBK"/>
                <w:kern w:val="0"/>
                <w:sz w:val="24"/>
                <w:szCs w:val="24"/>
              </w:rPr>
              <w:t>计量</w:t>
            </w:r>
          </w:p>
        </w:tc>
        <w:tc>
          <w:tcPr>
            <w:tcW w:w="807" w:type="dxa"/>
            <w:tcBorders>
              <w:top w:val="nil"/>
              <w:left w:val="nil"/>
              <w:bottom w:val="single" w:color="auto" w:sz="4" w:space="0"/>
              <w:right w:val="single" w:color="auto" w:sz="4" w:space="0"/>
              <w:tl2br w:val="nil"/>
              <w:tr2bl w:val="nil"/>
            </w:tcBorders>
            <w:noWrap w:val="0"/>
            <w:vAlign w:val="center"/>
          </w:tcPr>
          <w:p w14:paraId="46C9D139">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75</w:t>
            </w:r>
          </w:p>
        </w:tc>
        <w:tc>
          <w:tcPr>
            <w:tcW w:w="1712" w:type="dxa"/>
            <w:tcBorders>
              <w:top w:val="nil"/>
              <w:left w:val="nil"/>
              <w:bottom w:val="single" w:color="auto" w:sz="4" w:space="0"/>
              <w:right w:val="single" w:color="auto" w:sz="4" w:space="0"/>
              <w:tl2br w:val="nil"/>
              <w:tr2bl w:val="nil"/>
            </w:tcBorders>
            <w:noWrap w:val="0"/>
            <w:vAlign w:val="center"/>
          </w:tcPr>
          <w:p w14:paraId="65FA7A3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属于非强制检定范围的计量器具未自行定期检定或者送其他计量检定机构定期检定</w:t>
            </w:r>
          </w:p>
        </w:tc>
        <w:tc>
          <w:tcPr>
            <w:tcW w:w="2421" w:type="dxa"/>
            <w:tcBorders>
              <w:top w:val="nil"/>
              <w:left w:val="nil"/>
              <w:bottom w:val="single" w:color="auto" w:sz="4" w:space="0"/>
              <w:right w:val="single" w:color="auto" w:sz="4" w:space="0"/>
              <w:tl2br w:val="nil"/>
              <w:tr2bl w:val="nil"/>
            </w:tcBorders>
            <w:noWrap w:val="0"/>
            <w:vAlign w:val="center"/>
          </w:tcPr>
          <w:p w14:paraId="427D538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经发现后主动送检；</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实际使用的计量器具经检定合格；</w:t>
            </w:r>
          </w:p>
          <w:p w14:paraId="153E335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未造成不良后果。</w:t>
            </w:r>
          </w:p>
        </w:tc>
        <w:tc>
          <w:tcPr>
            <w:tcW w:w="4771" w:type="dxa"/>
            <w:tcBorders>
              <w:top w:val="nil"/>
              <w:left w:val="nil"/>
              <w:bottom w:val="single" w:color="auto" w:sz="4" w:space="0"/>
              <w:right w:val="single" w:color="auto" w:sz="4" w:space="0"/>
              <w:tl2br w:val="nil"/>
              <w:tr2bl w:val="nil"/>
            </w:tcBorders>
            <w:noWrap w:val="0"/>
            <w:vAlign w:val="center"/>
          </w:tcPr>
          <w:p w14:paraId="44F25D24">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《计量法》第九条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对前款规定以外的其他计量标准器具和工作计量器具，使用单位应当自行定期检定或者送其他计量检定机构检定。</w:t>
            </w:r>
          </w:p>
        </w:tc>
        <w:tc>
          <w:tcPr>
            <w:tcW w:w="4766" w:type="dxa"/>
            <w:tcBorders>
              <w:top w:val="nil"/>
              <w:left w:val="nil"/>
              <w:bottom w:val="single" w:color="auto" w:sz="4" w:space="0"/>
              <w:right w:val="single" w:color="auto" w:sz="4" w:space="0"/>
              <w:tl2br w:val="nil"/>
              <w:tr2bl w:val="nil"/>
            </w:tcBorders>
            <w:noWrap w:val="0"/>
            <w:vAlign w:val="center"/>
          </w:tcPr>
          <w:p w14:paraId="1462579E">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《计量法实施细则》第四十三条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14:paraId="1FC7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B1D6F0">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3DC2CA69">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76</w:t>
            </w:r>
          </w:p>
        </w:tc>
        <w:tc>
          <w:tcPr>
            <w:tcW w:w="1712" w:type="dxa"/>
            <w:tcBorders>
              <w:top w:val="nil"/>
              <w:left w:val="nil"/>
              <w:bottom w:val="single" w:color="auto" w:sz="4" w:space="0"/>
              <w:right w:val="single" w:color="auto" w:sz="4" w:space="0"/>
              <w:tl2br w:val="nil"/>
              <w:tr2bl w:val="nil"/>
            </w:tcBorders>
            <w:noWrap w:val="0"/>
            <w:vAlign w:val="center"/>
          </w:tcPr>
          <w:p w14:paraId="1E38D11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制造、修理计量器具的个体工商户未在规定场所从事经营活动</w:t>
            </w:r>
          </w:p>
        </w:tc>
        <w:tc>
          <w:tcPr>
            <w:tcW w:w="2421" w:type="dxa"/>
            <w:tcBorders>
              <w:top w:val="nil"/>
              <w:left w:val="nil"/>
              <w:bottom w:val="single" w:color="auto" w:sz="4" w:space="0"/>
              <w:right w:val="single" w:color="auto" w:sz="4" w:space="0"/>
              <w:tl2br w:val="nil"/>
              <w:tr2bl w:val="nil"/>
            </w:tcBorders>
            <w:noWrap w:val="0"/>
            <w:vAlign w:val="center"/>
          </w:tcPr>
          <w:p w14:paraId="7AC9396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0AF6B1F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《计量法实施细则》第十四条</w:t>
            </w:r>
            <w:r>
              <w:rPr>
                <w:rFonts w:hint="eastAsia" w:ascii="Times New Roman" w:hAnsi="Times New Roman" w:eastAsia="方正仿宋_GBK"/>
                <w:kern w:val="0"/>
                <w:sz w:val="21"/>
                <w:szCs w:val="24"/>
              </w:rPr>
              <w:t>　制造、修理计量器具的企业、事业单位和个体工商户须在固定的场所从事经营，具有符合国家规定的生产设施、检验条件、技术人员等，并满足安全要求。</w:t>
            </w:r>
          </w:p>
        </w:tc>
        <w:tc>
          <w:tcPr>
            <w:tcW w:w="4766" w:type="dxa"/>
            <w:tcBorders>
              <w:top w:val="nil"/>
              <w:left w:val="nil"/>
              <w:bottom w:val="single" w:color="auto" w:sz="4" w:space="0"/>
              <w:right w:val="single" w:color="auto" w:sz="4" w:space="0"/>
              <w:tl2br w:val="nil"/>
              <w:tr2bl w:val="nil"/>
            </w:tcBorders>
            <w:noWrap w:val="0"/>
            <w:vAlign w:val="center"/>
          </w:tcPr>
          <w:p w14:paraId="48142CD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《计量法实施细则》第四十九条</w:t>
            </w:r>
            <w:r>
              <w:rPr>
                <w:rFonts w:hint="eastAsia" w:ascii="Times New Roman" w:hAnsi="Times New Roman" w:eastAsia="方正仿宋_GBK"/>
                <w:kern w:val="0"/>
                <w:sz w:val="21"/>
                <w:szCs w:val="24"/>
              </w:rPr>
              <w:t>　个体工商户制造、修理国家规定范围以外的计量器具或者不按照规定场所从事经营活动的，责令其停止制造、修理，没收全部违法所得，可并处以500元以下的罚款。</w:t>
            </w:r>
          </w:p>
        </w:tc>
      </w:tr>
      <w:tr w14:paraId="338B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nil"/>
              <w:right w:val="single" w:color="auto" w:sz="4" w:space="0"/>
              <w:tl2br w:val="nil"/>
              <w:tr2bl w:val="nil"/>
            </w:tcBorders>
            <w:noWrap w:val="0"/>
            <w:vAlign w:val="center"/>
          </w:tcPr>
          <w:p w14:paraId="4AC76CB9">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7B4E046D">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77</w:t>
            </w:r>
          </w:p>
        </w:tc>
        <w:tc>
          <w:tcPr>
            <w:tcW w:w="1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94086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眼镜制配者使用属于非强制检定的计量器具，未按照规定定期检定</w:t>
            </w:r>
          </w:p>
        </w:tc>
        <w:tc>
          <w:tcPr>
            <w:tcW w:w="2421" w:type="dxa"/>
            <w:tcBorders>
              <w:top w:val="nil"/>
              <w:left w:val="nil"/>
              <w:bottom w:val="single" w:color="auto" w:sz="4" w:space="0"/>
              <w:right w:val="single" w:color="auto" w:sz="4" w:space="0"/>
              <w:tl2br w:val="nil"/>
              <w:tr2bl w:val="nil"/>
            </w:tcBorders>
            <w:noWrap w:val="0"/>
            <w:vAlign w:val="center"/>
          </w:tcPr>
          <w:p w14:paraId="5B8B5B8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违法经营时间较短；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经发现后及时检定；</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实际使用的计量器具经检定合格；</w:t>
            </w:r>
          </w:p>
          <w:p w14:paraId="37C4EE69">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未造成不良后果。</w:t>
            </w:r>
          </w:p>
        </w:tc>
        <w:tc>
          <w:tcPr>
            <w:tcW w:w="4771" w:type="dxa"/>
            <w:tcBorders>
              <w:top w:val="nil"/>
              <w:left w:val="nil"/>
              <w:bottom w:val="single" w:color="auto" w:sz="4" w:space="0"/>
              <w:right w:val="single" w:color="auto" w:sz="4" w:space="0"/>
              <w:tl2br w:val="nil"/>
              <w:tr2bl w:val="nil"/>
            </w:tcBorders>
            <w:noWrap w:val="0"/>
            <w:vAlign w:val="center"/>
          </w:tcPr>
          <w:p w14:paraId="195CF17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《眼镜制配计量监督管理办法》第四条第四项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眼镜制配者应当遵守以下规定：（四）不得使用未经检定、超过检定周期或者经检定不合格的计量器具。</w:t>
            </w:r>
          </w:p>
        </w:tc>
        <w:tc>
          <w:tcPr>
            <w:tcW w:w="4766" w:type="dxa"/>
            <w:tcBorders>
              <w:top w:val="nil"/>
              <w:left w:val="nil"/>
              <w:bottom w:val="single" w:color="auto" w:sz="4" w:space="0"/>
              <w:right w:val="single" w:color="auto" w:sz="4" w:space="0"/>
              <w:tl2br w:val="nil"/>
              <w:tr2bl w:val="nil"/>
            </w:tcBorders>
            <w:noWrap w:val="0"/>
            <w:vAlign w:val="center"/>
          </w:tcPr>
          <w:p w14:paraId="22D04042">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《眼镜制配计量监督管理办法》第九条第一项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14:paraId="718B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nil"/>
              <w:left w:val="single" w:color="auto" w:sz="4" w:space="0"/>
              <w:bottom w:val="single" w:color="auto" w:sz="4" w:space="0"/>
              <w:right w:val="single" w:color="auto" w:sz="4" w:space="0"/>
              <w:tl2br w:val="nil"/>
              <w:tr2bl w:val="nil"/>
            </w:tcBorders>
            <w:noWrap w:val="0"/>
            <w:vAlign w:val="center"/>
          </w:tcPr>
          <w:p w14:paraId="53AF6D2B">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48FFCD20">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78</w:t>
            </w:r>
          </w:p>
        </w:tc>
        <w:tc>
          <w:tcPr>
            <w:tcW w:w="1712" w:type="dxa"/>
            <w:tcBorders>
              <w:top w:val="single" w:color="auto" w:sz="4" w:space="0"/>
              <w:left w:val="nil"/>
              <w:bottom w:val="single" w:color="auto" w:sz="4" w:space="0"/>
              <w:right w:val="single" w:color="auto" w:sz="4" w:space="0"/>
              <w:tl2br w:val="nil"/>
              <w:tr2bl w:val="nil"/>
            </w:tcBorders>
            <w:noWrap w:val="0"/>
            <w:vAlign w:val="center"/>
          </w:tcPr>
          <w:p w14:paraId="6C593D1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集贸市场入场经营者未对配置和使用的计量器具进行维护和管理</w:t>
            </w:r>
          </w:p>
        </w:tc>
        <w:tc>
          <w:tcPr>
            <w:tcW w:w="2421" w:type="dxa"/>
            <w:tcBorders>
              <w:top w:val="nil"/>
              <w:left w:val="nil"/>
              <w:bottom w:val="single" w:color="auto" w:sz="4" w:space="0"/>
              <w:right w:val="single" w:color="auto" w:sz="4" w:space="0"/>
              <w:tl2br w:val="nil"/>
              <w:tr2bl w:val="nil"/>
            </w:tcBorders>
            <w:noWrap w:val="0"/>
            <w:vAlign w:val="center"/>
          </w:tcPr>
          <w:p w14:paraId="55F0D3B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案涉计量器具合格；</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未造成不良后果；</w:t>
            </w:r>
          </w:p>
          <w:p w14:paraId="3035059A">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753D54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《集贸市场计量监督管理办法》第六条第二项</w:t>
            </w:r>
            <w:r>
              <w:rPr>
                <w:rFonts w:hint="eastAsia" w:ascii="Times New Roman" w:hAnsi="Times New Roman" w:eastAsia="方正仿宋_GBK"/>
                <w:kern w:val="0"/>
                <w:sz w:val="21"/>
                <w:szCs w:val="24"/>
              </w:rPr>
              <w:t>　经营者应当做到：（二）对配置和使用的计量器具进行维护和管理，定期接受市场监督管理部门指定的法定计量检定机构对计量器具的强制检定。</w:t>
            </w:r>
          </w:p>
        </w:tc>
        <w:tc>
          <w:tcPr>
            <w:tcW w:w="4766" w:type="dxa"/>
            <w:tcBorders>
              <w:top w:val="nil"/>
              <w:left w:val="nil"/>
              <w:bottom w:val="single" w:color="auto" w:sz="4" w:space="0"/>
              <w:right w:val="single" w:color="auto" w:sz="4" w:space="0"/>
              <w:tl2br w:val="nil"/>
              <w:tr2bl w:val="nil"/>
            </w:tcBorders>
            <w:noWrap w:val="0"/>
            <w:vAlign w:val="center"/>
          </w:tcPr>
          <w:p w14:paraId="59553F7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《集贸市场计量监督管理办法》第十二条第一款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经营者违反本办法第六条第（二）项规定的，责令其停止使用，可并处以1000元以下的罚款。</w:t>
            </w:r>
          </w:p>
        </w:tc>
      </w:tr>
      <w:tr w14:paraId="3E47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401CFD">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62B68F42">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79</w:t>
            </w:r>
          </w:p>
        </w:tc>
        <w:tc>
          <w:tcPr>
            <w:tcW w:w="1712" w:type="dxa"/>
            <w:tcBorders>
              <w:top w:val="nil"/>
              <w:left w:val="nil"/>
              <w:bottom w:val="single" w:color="auto" w:sz="4" w:space="0"/>
              <w:right w:val="single" w:color="auto" w:sz="4" w:space="0"/>
              <w:tl2br w:val="nil"/>
              <w:tr2bl w:val="nil"/>
            </w:tcBorders>
            <w:noWrap w:val="0"/>
            <w:vAlign w:val="center"/>
          </w:tcPr>
          <w:p w14:paraId="1D561EB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销售定量包装商品的实际含量不符合规定</w:t>
            </w:r>
          </w:p>
        </w:tc>
        <w:tc>
          <w:tcPr>
            <w:tcW w:w="2421" w:type="dxa"/>
            <w:tcBorders>
              <w:top w:val="nil"/>
              <w:left w:val="nil"/>
              <w:bottom w:val="single" w:color="auto" w:sz="4" w:space="0"/>
              <w:right w:val="single" w:color="auto" w:sz="4" w:space="0"/>
              <w:tl2br w:val="nil"/>
              <w:tr2bl w:val="nil"/>
            </w:tcBorders>
            <w:noWrap w:val="0"/>
            <w:vAlign w:val="center"/>
          </w:tcPr>
          <w:p w14:paraId="464898E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能够说明合法来源及提供者；</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实际净含量与标注净含量的差额较小，不经计量难以发现；</w:t>
            </w:r>
          </w:p>
          <w:p w14:paraId="4994358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C54B5E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《定量包装商品计量监督管理办法》第八条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单件定量包装商品的实际含量应当准确反映其标注净含量，标注净含量与实际含量之差不得大于本办法附件3规定的允许短缺量。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第九条第一款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批量定量包装商品的平均实际含量应当大于或者等于其标注净含量。</w:t>
            </w:r>
          </w:p>
        </w:tc>
        <w:tc>
          <w:tcPr>
            <w:tcW w:w="4766" w:type="dxa"/>
            <w:tcBorders>
              <w:top w:val="nil"/>
              <w:left w:val="nil"/>
              <w:bottom w:val="single" w:color="auto" w:sz="4" w:space="0"/>
              <w:right w:val="single" w:color="auto" w:sz="4" w:space="0"/>
              <w:tl2br w:val="nil"/>
              <w:tr2bl w:val="nil"/>
            </w:tcBorders>
            <w:noWrap w:val="0"/>
            <w:vAlign w:val="center"/>
          </w:tcPr>
          <w:p w14:paraId="167A2DB1">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《定量包装商品计量监督管理办法》第十八条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生产、销售的定量包装商品，经检验违反本办法第八条、第九条规定的，由县级以上地方市场监督管理部门责令改正，处三万元以下罚款。</w:t>
            </w:r>
          </w:p>
        </w:tc>
      </w:tr>
      <w:tr w14:paraId="21F8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817" w:type="dxa"/>
            <w:vMerge w:val="continue"/>
            <w:tcBorders>
              <w:top w:val="single" w:color="auto" w:sz="4" w:space="0"/>
              <w:left w:val="single" w:color="auto" w:sz="4" w:space="0"/>
              <w:bottom w:val="nil"/>
              <w:right w:val="single" w:color="auto" w:sz="4" w:space="0"/>
              <w:tl2br w:val="nil"/>
              <w:tr2bl w:val="nil"/>
            </w:tcBorders>
            <w:noWrap w:val="0"/>
            <w:vAlign w:val="center"/>
          </w:tcPr>
          <w:p w14:paraId="62385248">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1A42D02B">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80</w:t>
            </w:r>
          </w:p>
        </w:tc>
        <w:tc>
          <w:tcPr>
            <w:tcW w:w="1712" w:type="dxa"/>
            <w:tcBorders>
              <w:top w:val="nil"/>
              <w:left w:val="nil"/>
              <w:bottom w:val="single" w:color="auto" w:sz="4" w:space="0"/>
              <w:right w:val="single" w:color="auto" w:sz="4" w:space="0"/>
              <w:tl2br w:val="nil"/>
              <w:tr2bl w:val="nil"/>
            </w:tcBorders>
            <w:noWrap w:val="0"/>
            <w:vAlign w:val="center"/>
          </w:tcPr>
          <w:p w14:paraId="26B35F7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经营者使用无检定合格印证或者超过检定周期的计量器具行为</w:t>
            </w:r>
          </w:p>
        </w:tc>
        <w:tc>
          <w:tcPr>
            <w:tcW w:w="2421" w:type="dxa"/>
            <w:tcBorders>
              <w:top w:val="nil"/>
              <w:left w:val="nil"/>
              <w:bottom w:val="single" w:color="auto" w:sz="4" w:space="0"/>
              <w:right w:val="single" w:color="auto" w:sz="4" w:space="0"/>
              <w:tl2br w:val="nil"/>
              <w:tr2bl w:val="nil"/>
            </w:tcBorders>
            <w:noWrap w:val="0"/>
            <w:vAlign w:val="center"/>
          </w:tcPr>
          <w:p w14:paraId="4E2E73B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案涉计量器具合格；</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未造成不良后果；</w:t>
            </w:r>
          </w:p>
          <w:p w14:paraId="1E2178A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4804148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《江苏省贸易计量监督管理条例》第八条第一款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经营者不得使用无检定合格印证或者超过检定周期以及经检定不合格的计量器具。</w:t>
            </w:r>
          </w:p>
        </w:tc>
        <w:tc>
          <w:tcPr>
            <w:tcW w:w="4766" w:type="dxa"/>
            <w:tcBorders>
              <w:top w:val="nil"/>
              <w:left w:val="nil"/>
              <w:bottom w:val="single" w:color="auto" w:sz="4" w:space="0"/>
              <w:right w:val="single" w:color="auto" w:sz="4" w:space="0"/>
              <w:tl2br w:val="nil"/>
              <w:tr2bl w:val="nil"/>
            </w:tcBorders>
            <w:noWrap w:val="0"/>
            <w:vAlign w:val="center"/>
          </w:tcPr>
          <w:p w14:paraId="24EB211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w:t>
            </w:r>
            <w:r>
              <w:rPr>
                <w:rFonts w:hint="eastAsia" w:ascii="Times New Roman" w:hAnsi="Times New Roman" w:eastAsia="方正仿宋_GBK"/>
                <w:b/>
                <w:kern w:val="0"/>
                <w:sz w:val="21"/>
                <w:szCs w:val="24"/>
              </w:rPr>
              <w:t>江苏省贸易计量监督管理条例》第二十九条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违反本条例第七条、第八条第一款、第九条、第十条、第十二条、第十四条、第十六条规定的，责令限期改正，可以处以一千元以下罚款。</w:t>
            </w:r>
          </w:p>
        </w:tc>
      </w:tr>
      <w:tr w14:paraId="7947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817" w:type="dxa"/>
            <w:tcBorders>
              <w:top w:val="nil"/>
              <w:left w:val="single" w:color="auto" w:sz="4" w:space="0"/>
              <w:bottom w:val="nil"/>
              <w:right w:val="single" w:color="auto" w:sz="4" w:space="0"/>
              <w:tl2br w:val="nil"/>
              <w:tr2bl w:val="nil"/>
            </w:tcBorders>
            <w:noWrap w:val="0"/>
            <w:vAlign w:val="center"/>
          </w:tcPr>
          <w:p w14:paraId="47FC50BC">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525DA3DE">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81</w:t>
            </w:r>
          </w:p>
        </w:tc>
        <w:tc>
          <w:tcPr>
            <w:tcW w:w="1712" w:type="dxa"/>
            <w:tcBorders>
              <w:top w:val="nil"/>
              <w:left w:val="nil"/>
              <w:bottom w:val="single" w:color="auto" w:sz="4" w:space="0"/>
              <w:right w:val="single" w:color="auto" w:sz="4" w:space="0"/>
              <w:tl2br w:val="nil"/>
              <w:tr2bl w:val="nil"/>
            </w:tcBorders>
            <w:noWrap w:val="0"/>
            <w:vAlign w:val="center"/>
          </w:tcPr>
          <w:p w14:paraId="0E91F8F4">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使用非法定计量单位</w:t>
            </w:r>
          </w:p>
        </w:tc>
        <w:tc>
          <w:tcPr>
            <w:tcW w:w="2421" w:type="dxa"/>
            <w:tcBorders>
              <w:top w:val="nil"/>
              <w:left w:val="nil"/>
              <w:bottom w:val="single" w:color="auto" w:sz="4" w:space="0"/>
              <w:right w:val="single" w:color="auto" w:sz="4" w:space="0"/>
              <w:tl2br w:val="nil"/>
              <w:tr2bl w:val="nil"/>
            </w:tcBorders>
            <w:noWrap w:val="0"/>
            <w:vAlign w:val="center"/>
          </w:tcPr>
          <w:p w14:paraId="5CF6306C">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350D0FB">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及时改正；</w:t>
            </w:r>
          </w:p>
          <w:p w14:paraId="582EFE5F">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没有造成危害后果。</w:t>
            </w:r>
          </w:p>
        </w:tc>
        <w:tc>
          <w:tcPr>
            <w:tcW w:w="4771" w:type="dxa"/>
            <w:tcBorders>
              <w:top w:val="nil"/>
              <w:left w:val="nil"/>
              <w:bottom w:val="single" w:color="auto" w:sz="4" w:space="0"/>
              <w:right w:val="single" w:color="auto" w:sz="4" w:space="0"/>
              <w:tl2br w:val="nil"/>
              <w:tr2bl w:val="nil"/>
            </w:tcBorders>
            <w:noWrap w:val="0"/>
            <w:vAlign w:val="center"/>
          </w:tcPr>
          <w:p w14:paraId="19DB4851">
            <w:pPr>
              <w:widowControl/>
              <w:spacing w:beforeLines="0" w:afterLines="0" w:line="260" w:lineRule="exact"/>
              <w:jc w:val="left"/>
              <w:rPr>
                <w:rFonts w:hint="default" w:ascii="Times New Roman" w:hAnsi="Times New Roman" w:eastAsia="方正仿宋_GBK"/>
                <w:spacing w:val="-10"/>
                <w:kern w:val="0"/>
                <w:sz w:val="21"/>
                <w:szCs w:val="24"/>
              </w:rPr>
            </w:pPr>
            <w:r>
              <w:rPr>
                <w:rFonts w:hint="eastAsia" w:ascii="Times New Roman" w:hAnsi="Times New Roman" w:eastAsia="方正仿宋_GBK"/>
                <w:b/>
                <w:spacing w:val="-10"/>
                <w:kern w:val="0"/>
                <w:sz w:val="21"/>
                <w:szCs w:val="24"/>
              </w:rPr>
              <w:t xml:space="preserve">《计量法实施细则》第二条 </w:t>
            </w:r>
            <w:r>
              <w:rPr>
                <w:rFonts w:hint="default" w:ascii="Times New Roman" w:hAnsi="Times New Roman" w:eastAsia="方正仿宋_GBK"/>
                <w:spacing w:val="-10"/>
                <w:kern w:val="0"/>
                <w:sz w:val="21"/>
                <w:szCs w:val="24"/>
              </w:rPr>
              <w:t xml:space="preserve"> </w:t>
            </w:r>
            <w:r>
              <w:rPr>
                <w:rFonts w:hint="eastAsia" w:ascii="Times New Roman" w:hAnsi="Times New Roman" w:eastAsia="方正仿宋_GBK"/>
                <w:spacing w:val="-10"/>
                <w:kern w:val="0"/>
                <w:sz w:val="21"/>
                <w:szCs w:val="24"/>
              </w:rPr>
              <w:t>国家实行法定计量单位制度。法定计量单位的名称、符号按照国务院关于在我国统一实行法定计量单位的有关规定执行。</w:t>
            </w:r>
          </w:p>
        </w:tc>
        <w:tc>
          <w:tcPr>
            <w:tcW w:w="4766" w:type="dxa"/>
            <w:tcBorders>
              <w:top w:val="nil"/>
              <w:left w:val="nil"/>
              <w:bottom w:val="single" w:color="auto" w:sz="4" w:space="0"/>
              <w:right w:val="single" w:color="auto" w:sz="4" w:space="0"/>
              <w:tl2br w:val="nil"/>
              <w:tr2bl w:val="nil"/>
            </w:tcBorders>
            <w:noWrap w:val="0"/>
            <w:vAlign w:val="center"/>
          </w:tcPr>
          <w:p w14:paraId="7521C43D">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《计量法实施细则》第四十条 </w:t>
            </w:r>
            <w:r>
              <w:rPr>
                <w:rFonts w:hint="eastAsia" w:ascii="Times New Roman" w:hAnsi="Times New Roman" w:eastAsia="方正仿宋_GBK"/>
                <w:kern w:val="0"/>
                <w:sz w:val="21"/>
                <w:szCs w:val="24"/>
              </w:rPr>
              <w:t>违反本细则第二条规定，使用非法定计量单位的，责令其改正；属出版物的，责令其停止销售，可并处 1000 元以下的罚款。</w:t>
            </w:r>
          </w:p>
        </w:tc>
      </w:tr>
      <w:tr w14:paraId="0394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7D15BF78">
            <w:pPr>
              <w:widowControl/>
              <w:spacing w:beforeLines="0" w:afterLines="0" w:line="320" w:lineRule="exact"/>
              <w:jc w:val="center"/>
              <w:rPr>
                <w:rFonts w:hint="default" w:ascii="Times New Roman" w:hAnsi="Times New Roman" w:eastAsia="方正黑体_GBK"/>
                <w:kern w:val="0"/>
                <w:sz w:val="21"/>
                <w:szCs w:val="24"/>
              </w:rPr>
            </w:pPr>
          </w:p>
        </w:tc>
        <w:tc>
          <w:tcPr>
            <w:tcW w:w="807" w:type="dxa"/>
            <w:tcBorders>
              <w:top w:val="nil"/>
              <w:left w:val="nil"/>
              <w:bottom w:val="single" w:color="auto" w:sz="4" w:space="0"/>
              <w:right w:val="single" w:color="auto" w:sz="4" w:space="0"/>
              <w:tl2br w:val="nil"/>
              <w:tr2bl w:val="nil"/>
            </w:tcBorders>
            <w:noWrap w:val="0"/>
            <w:vAlign w:val="center"/>
          </w:tcPr>
          <w:p w14:paraId="03842F5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82</w:t>
            </w:r>
          </w:p>
        </w:tc>
        <w:tc>
          <w:tcPr>
            <w:tcW w:w="1712" w:type="dxa"/>
            <w:tcBorders>
              <w:top w:val="nil"/>
              <w:left w:val="nil"/>
              <w:bottom w:val="single" w:color="auto" w:sz="4" w:space="0"/>
              <w:right w:val="single" w:color="auto" w:sz="4" w:space="0"/>
              <w:tl2br w:val="nil"/>
              <w:tr2bl w:val="nil"/>
            </w:tcBorders>
            <w:noWrap w:val="0"/>
            <w:vAlign w:val="center"/>
          </w:tcPr>
          <w:p w14:paraId="4CE93668">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销售批量定量包装商品的平均实际含量小于其标注净含量</w:t>
            </w:r>
          </w:p>
        </w:tc>
        <w:tc>
          <w:tcPr>
            <w:tcW w:w="2421" w:type="dxa"/>
            <w:tcBorders>
              <w:top w:val="nil"/>
              <w:left w:val="nil"/>
              <w:bottom w:val="single" w:color="auto" w:sz="4" w:space="0"/>
              <w:right w:val="single" w:color="auto" w:sz="4" w:space="0"/>
              <w:tl2br w:val="nil"/>
              <w:tr2bl w:val="nil"/>
            </w:tcBorders>
            <w:noWrap w:val="0"/>
            <w:vAlign w:val="center"/>
          </w:tcPr>
          <w:p w14:paraId="39BAE8DC">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062AE2E">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能够说明合法来源及提供者；</w:t>
            </w:r>
          </w:p>
          <w:p w14:paraId="68CA08CE">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p w14:paraId="223B9344">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危害后果轻微。</w:t>
            </w:r>
          </w:p>
        </w:tc>
        <w:tc>
          <w:tcPr>
            <w:tcW w:w="4771" w:type="dxa"/>
            <w:tcBorders>
              <w:top w:val="nil"/>
              <w:left w:val="nil"/>
              <w:bottom w:val="single" w:color="auto" w:sz="4" w:space="0"/>
              <w:right w:val="single" w:color="auto" w:sz="4" w:space="0"/>
              <w:tl2br w:val="nil"/>
              <w:tr2bl w:val="nil"/>
            </w:tcBorders>
            <w:noWrap w:val="0"/>
            <w:vAlign w:val="center"/>
          </w:tcPr>
          <w:p w14:paraId="54D9804A">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《定量包装商品计量监督管理办法》第九条第一款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批量定量包装商品的平均实际含量应当大于或者等于其标注净含量。</w:t>
            </w:r>
          </w:p>
          <w:p w14:paraId="7969EC9D">
            <w:pPr>
              <w:widowControl/>
              <w:spacing w:beforeLines="0" w:afterLines="0" w:line="260" w:lineRule="exact"/>
              <w:jc w:val="left"/>
              <w:rPr>
                <w:rFonts w:hint="default" w:ascii="Times New Roman" w:hAnsi="Times New Roman" w:eastAsia="方正仿宋_GBK"/>
                <w:kern w:val="0"/>
                <w:sz w:val="21"/>
                <w:szCs w:val="24"/>
              </w:rPr>
            </w:pPr>
          </w:p>
        </w:tc>
        <w:tc>
          <w:tcPr>
            <w:tcW w:w="4766" w:type="dxa"/>
            <w:tcBorders>
              <w:top w:val="nil"/>
              <w:left w:val="nil"/>
              <w:bottom w:val="single" w:color="auto" w:sz="4" w:space="0"/>
              <w:right w:val="single" w:color="auto" w:sz="4" w:space="0"/>
              <w:tl2br w:val="nil"/>
              <w:tr2bl w:val="nil"/>
            </w:tcBorders>
            <w:noWrap w:val="0"/>
            <w:vAlign w:val="center"/>
          </w:tcPr>
          <w:p w14:paraId="3D670B6E">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《定量包装商品计量监督管理办法》第十八条</w:t>
            </w:r>
            <w:r>
              <w:rPr>
                <w:rFonts w:hint="eastAsia" w:ascii="Times New Roman" w:hAnsi="Times New Roman" w:eastAsia="方正仿宋_GBK"/>
                <w:kern w:val="0"/>
                <w:sz w:val="21"/>
                <w:szCs w:val="24"/>
              </w:rPr>
              <w:t>　生产、销售的定量包装商品，经检验违反本办法第八条、第九条规定的，由县级以上地方市场监督管理部门责令改正，处三万元以下罚款。</w:t>
            </w:r>
          </w:p>
        </w:tc>
      </w:tr>
      <w:tr w14:paraId="5BAF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single" w:color="auto" w:sz="4" w:space="0"/>
              <w:left w:val="single" w:color="auto" w:sz="4" w:space="0"/>
              <w:bottom w:val="nil"/>
              <w:right w:val="single" w:color="auto" w:sz="4" w:space="0"/>
              <w:tl2br w:val="nil"/>
              <w:tr2bl w:val="nil"/>
            </w:tcBorders>
            <w:noWrap w:val="0"/>
            <w:vAlign w:val="center"/>
          </w:tcPr>
          <w:p w14:paraId="579678AC">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消费者权益保护</w:t>
            </w: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6CD01B43">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83</w:t>
            </w:r>
          </w:p>
        </w:tc>
        <w:tc>
          <w:tcPr>
            <w:tcW w:w="1712" w:type="dxa"/>
            <w:tcBorders>
              <w:top w:val="nil"/>
              <w:left w:val="nil"/>
              <w:bottom w:val="single" w:color="auto" w:sz="4" w:space="0"/>
              <w:right w:val="single" w:color="auto" w:sz="4" w:space="0"/>
              <w:tl2br w:val="nil"/>
              <w:tr2bl w:val="nil"/>
            </w:tcBorders>
            <w:noWrap w:val="0"/>
            <w:vAlign w:val="center"/>
          </w:tcPr>
          <w:p w14:paraId="2E71DA1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经营者未出具发票等购货凭证、服务单据或者收费清单</w:t>
            </w:r>
          </w:p>
        </w:tc>
        <w:tc>
          <w:tcPr>
            <w:tcW w:w="2421" w:type="dxa"/>
            <w:tcBorders>
              <w:top w:val="nil"/>
              <w:left w:val="nil"/>
              <w:bottom w:val="single" w:color="auto" w:sz="4" w:space="0"/>
              <w:right w:val="single" w:color="auto" w:sz="4" w:space="0"/>
              <w:tl2br w:val="nil"/>
              <w:tr2bl w:val="nil"/>
            </w:tcBorders>
            <w:noWrap w:val="0"/>
            <w:vAlign w:val="center"/>
          </w:tcPr>
          <w:p w14:paraId="650E6F6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315E13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已充分保障消费者的知情权；</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持续时间较短，或案涉商品、服务经营额较少；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消费者未受到实际损失；</w:t>
            </w:r>
          </w:p>
          <w:p w14:paraId="02D2A42D">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07F8C7F6">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《江苏省消费者权益保护条例》第十四条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提供商品或者服务，应当按照国家有关规定或者商业惯例，向消费者出具发票等购货凭证、服务单据；征得消费者同意后，可以电子化形式出具。消费者要求提供购货凭证、服务单据以外的收费清单的，经营者应当提供。</w:t>
            </w:r>
          </w:p>
        </w:tc>
        <w:tc>
          <w:tcPr>
            <w:tcW w:w="4766" w:type="dxa"/>
            <w:tcBorders>
              <w:top w:val="nil"/>
              <w:left w:val="nil"/>
              <w:bottom w:val="single" w:color="auto" w:sz="4" w:space="0"/>
              <w:right w:val="single" w:color="auto" w:sz="4" w:space="0"/>
              <w:tl2br w:val="nil"/>
              <w:tr2bl w:val="nil"/>
            </w:tcBorders>
            <w:noWrap w:val="0"/>
            <w:vAlign w:val="center"/>
          </w:tcPr>
          <w:p w14:paraId="796EA986">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《江苏省消费者权益保护条例》第六十一条第四项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等有下列情形之一的，由工商行政管理部门或者其他有关行政部门责令改正，可以根据情节单处或者并处警告、五千元以上五万元以下的罚款；情节严重的，责令停业整顿：（四）违反第十四条规定，未按照国家有关规定、商业惯例和消费者要求，出具发票等购货凭证、服务单据或者收费清单的。</w:t>
            </w:r>
          </w:p>
        </w:tc>
      </w:tr>
      <w:tr w14:paraId="4B37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47F6F4C9">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0290C562">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84</w:t>
            </w:r>
          </w:p>
        </w:tc>
        <w:tc>
          <w:tcPr>
            <w:tcW w:w="1712" w:type="dxa"/>
            <w:tcBorders>
              <w:top w:val="nil"/>
              <w:left w:val="nil"/>
              <w:bottom w:val="single" w:color="auto" w:sz="4" w:space="0"/>
              <w:right w:val="single" w:color="auto" w:sz="4" w:space="0"/>
              <w:tl2br w:val="nil"/>
              <w:tr2bl w:val="nil"/>
            </w:tcBorders>
            <w:noWrap w:val="0"/>
            <w:vAlign w:val="center"/>
          </w:tcPr>
          <w:p w14:paraId="40BC0F6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经营者格式条款违法行为</w:t>
            </w:r>
          </w:p>
        </w:tc>
        <w:tc>
          <w:tcPr>
            <w:tcW w:w="2421" w:type="dxa"/>
            <w:tcBorders>
              <w:top w:val="nil"/>
              <w:left w:val="nil"/>
              <w:bottom w:val="single" w:color="auto" w:sz="4" w:space="0"/>
              <w:right w:val="single" w:color="auto" w:sz="4" w:space="0"/>
              <w:tl2br w:val="nil"/>
              <w:tr2bl w:val="nil"/>
            </w:tcBorders>
            <w:noWrap w:val="0"/>
            <w:vAlign w:val="center"/>
          </w:tcPr>
          <w:p w14:paraId="4C33265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消费者未因格式条款受到实际损失；</w:t>
            </w:r>
          </w:p>
          <w:p w14:paraId="4B19F93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5AD04C57">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《消费者权益保护法》第二十六条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14:paraId="38D37C12">
            <w:pPr>
              <w:widowControl/>
              <w:spacing w:beforeLines="0" w:afterLines="0" w:line="260" w:lineRule="exact"/>
              <w:rPr>
                <w:rFonts w:hint="default" w:ascii="Times New Roman" w:hAnsi="Times New Roman" w:eastAsia="方正仿宋_GBK"/>
                <w:spacing w:val="-4"/>
                <w:kern w:val="0"/>
                <w:sz w:val="21"/>
                <w:szCs w:val="24"/>
              </w:rPr>
            </w:pPr>
            <w:r>
              <w:rPr>
                <w:rFonts w:hint="eastAsia" w:ascii="Times New Roman" w:hAnsi="Times New Roman" w:eastAsia="方正仿宋_GBK"/>
                <w:kern w:val="0"/>
                <w:sz w:val="21"/>
                <w:szCs w:val="24"/>
              </w:rPr>
              <w:t>　　</w:t>
            </w:r>
            <w:r>
              <w:rPr>
                <w:rFonts w:hint="eastAsia" w:ascii="Times New Roman" w:hAnsi="Times New Roman" w:eastAsia="方正仿宋_GBK"/>
                <w:spacing w:val="-4"/>
                <w:kern w:val="0"/>
                <w:sz w:val="21"/>
                <w:szCs w:val="24"/>
              </w:rPr>
              <w:t>经营者不得以格式条款、通知、声明、店堂告示等方式，作出排除或者限制消费者权利、减轻或者免除经营者责任、加重消费者责任等对消费者不公平、不合理的规定，不得利用格式条款并借助技术手段强制交易。</w:t>
            </w:r>
          </w:p>
          <w:p w14:paraId="3FB4501E">
            <w:pPr>
              <w:widowControl/>
              <w:spacing w:beforeLines="0" w:afterLines="0" w:line="260" w:lineRule="exact"/>
              <w:ind w:firstLine="488"/>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格式条款、通知、声明、店堂告示等含有前款所列内容的，其内容无效。</w:t>
            </w:r>
          </w:p>
          <w:p w14:paraId="7C7E961A">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《消费者权益保护法实施条例》第十七条</w:t>
            </w:r>
            <w:r>
              <w:rPr>
                <w:rFonts w:hint="eastAsia" w:ascii="Times New Roman" w:hAnsi="Times New Roman" w:eastAsia="方正仿宋_GBK"/>
                <w:kern w:val="0"/>
                <w:sz w:val="21"/>
                <w:szCs w:val="24"/>
              </w:rPr>
              <w:t>　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tc>
        <w:tc>
          <w:tcPr>
            <w:tcW w:w="4766" w:type="dxa"/>
            <w:tcBorders>
              <w:top w:val="nil"/>
              <w:left w:val="nil"/>
              <w:bottom w:val="single" w:color="auto" w:sz="4" w:space="0"/>
              <w:right w:val="single" w:color="auto" w:sz="4" w:space="0"/>
              <w:tl2br w:val="nil"/>
              <w:tr2bl w:val="nil"/>
            </w:tcBorders>
            <w:noWrap w:val="0"/>
            <w:vAlign w:val="center"/>
          </w:tcPr>
          <w:p w14:paraId="247D888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《消费者权益保护法实施条例》第五十条第一款</w:t>
            </w:r>
            <w:r>
              <w:rPr>
                <w:rFonts w:hint="eastAsia" w:ascii="Times New Roman" w:hAnsi="Times New Roman" w:eastAsia="方正仿宋_GBK"/>
                <w:kern w:val="0"/>
                <w:sz w:val="21"/>
                <w:szCs w:val="24"/>
              </w:rPr>
              <w:t>　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p w14:paraId="0A0799ED">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《江苏省消费者权益保护条例》第六十一条第一项</w:t>
            </w:r>
            <w:r>
              <w:rPr>
                <w:rFonts w:hint="eastAsia" w:ascii="Times New Roman" w:hAnsi="Times New Roman" w:eastAsia="方正仿宋_GBK"/>
                <w:kern w:val="0"/>
                <w:sz w:val="21"/>
                <w:szCs w:val="24"/>
              </w:rPr>
              <w:t>　经营者等有下列情形之一的，由市场监督管理部门或者其他有关行政部门责令改正，可以根据情节单处或者并处警告、五千元以上五万元以下的罚款；情节严重的，责令停业整顿：（一）违反第八条第三款规定，利用合同格式条款、通知、声明、店堂告示等方式作出对消费者不公平、不合理的规定的；</w:t>
            </w:r>
          </w:p>
        </w:tc>
      </w:tr>
      <w:tr w14:paraId="02E7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3" w:hRule="atLeast"/>
          <w:jc w:val="center"/>
        </w:trPr>
        <w:tc>
          <w:tcPr>
            <w:tcW w:w="817" w:type="dxa"/>
            <w:vMerge w:val="continue"/>
            <w:tcBorders>
              <w:top w:val="single" w:color="auto" w:sz="4" w:space="0"/>
              <w:left w:val="single" w:color="auto" w:sz="4" w:space="0"/>
              <w:bottom w:val="nil"/>
              <w:right w:val="single" w:color="auto" w:sz="4" w:space="0"/>
              <w:tl2br w:val="nil"/>
              <w:tr2bl w:val="nil"/>
            </w:tcBorders>
            <w:noWrap w:val="0"/>
            <w:vAlign w:val="center"/>
          </w:tcPr>
          <w:p w14:paraId="201BB052">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290F7CF3">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85</w:t>
            </w:r>
          </w:p>
        </w:tc>
        <w:tc>
          <w:tcPr>
            <w:tcW w:w="1712" w:type="dxa"/>
            <w:tcBorders>
              <w:top w:val="nil"/>
              <w:left w:val="nil"/>
              <w:bottom w:val="single" w:color="auto" w:sz="4" w:space="0"/>
              <w:right w:val="single" w:color="auto" w:sz="4" w:space="0"/>
              <w:tl2br w:val="nil"/>
              <w:tr2bl w:val="nil"/>
            </w:tcBorders>
            <w:noWrap w:val="0"/>
            <w:vAlign w:val="center"/>
          </w:tcPr>
          <w:p w14:paraId="2938730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经营者未在经营场所和网站、网店首页的显著位置标明真实名称和标记</w:t>
            </w:r>
          </w:p>
        </w:tc>
        <w:tc>
          <w:tcPr>
            <w:tcW w:w="2421" w:type="dxa"/>
            <w:tcBorders>
              <w:top w:val="nil"/>
              <w:left w:val="nil"/>
              <w:bottom w:val="single" w:color="auto" w:sz="4" w:space="0"/>
              <w:right w:val="single" w:color="auto" w:sz="4" w:space="0"/>
              <w:tl2br w:val="nil"/>
              <w:tr2bl w:val="nil"/>
            </w:tcBorders>
            <w:noWrap w:val="0"/>
            <w:vAlign w:val="center"/>
          </w:tcPr>
          <w:p w14:paraId="11BF054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不影响消费者识别经营者身份；</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0A70BB2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《江苏省消费者权益保护条例》第十条第一款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经营者应当在经营场所和网站、网店首页的显著位置标明其真实名称和标记。标明经营者名称的位置、字体、颜色等，应当便于识别。</w:t>
            </w:r>
          </w:p>
        </w:tc>
        <w:tc>
          <w:tcPr>
            <w:tcW w:w="4766" w:type="dxa"/>
            <w:tcBorders>
              <w:top w:val="nil"/>
              <w:left w:val="nil"/>
              <w:bottom w:val="single" w:color="auto" w:sz="4" w:space="0"/>
              <w:right w:val="single" w:color="auto" w:sz="4" w:space="0"/>
              <w:tl2br w:val="nil"/>
              <w:tr2bl w:val="nil"/>
            </w:tcBorders>
            <w:noWrap w:val="0"/>
            <w:vAlign w:val="center"/>
          </w:tcPr>
          <w:p w14:paraId="100506D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《江苏省消费者权益保护条例》第六十一条第二项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等有下列情形之一的，由工商行政管理部门或者其他有关行政部门责令改正，可以根据情节单处或者并处警告、五千元以上五万元以下的罚款；情节严重的，责令停业整顿：（二）违反第十条第一款规定，未按规定在显著位置标明真实名称和标记的；</w:t>
            </w:r>
          </w:p>
        </w:tc>
      </w:tr>
      <w:tr w14:paraId="2BD6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8"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4E4E25F2">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8F2EC39">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86</w:t>
            </w:r>
          </w:p>
        </w:tc>
        <w:tc>
          <w:tcPr>
            <w:tcW w:w="1712" w:type="dxa"/>
            <w:tcBorders>
              <w:top w:val="nil"/>
              <w:left w:val="nil"/>
              <w:bottom w:val="single" w:color="auto" w:sz="4" w:space="0"/>
              <w:right w:val="single" w:color="auto" w:sz="4" w:space="0"/>
              <w:tl2br w:val="nil"/>
              <w:tr2bl w:val="nil"/>
            </w:tcBorders>
            <w:noWrap w:val="0"/>
            <w:vAlign w:val="center"/>
          </w:tcPr>
          <w:p w14:paraId="7F41A1F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餐饮业经营者未提供符合卫生条件的免费餐具供消费者选择</w:t>
            </w:r>
          </w:p>
        </w:tc>
        <w:tc>
          <w:tcPr>
            <w:tcW w:w="2421" w:type="dxa"/>
            <w:tcBorders>
              <w:top w:val="nil"/>
              <w:left w:val="nil"/>
              <w:bottom w:val="single" w:color="auto" w:sz="4" w:space="0"/>
              <w:right w:val="single" w:color="auto" w:sz="4" w:space="0"/>
              <w:tl2br w:val="nil"/>
              <w:tr2bl w:val="nil"/>
            </w:tcBorders>
            <w:noWrap w:val="0"/>
            <w:vAlign w:val="center"/>
          </w:tcPr>
          <w:p w14:paraId="2CC3E16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持续时间较短，或案涉餐具收费金额较少；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29CE4C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《江苏省消费者权益保护条例》第三十五条第二款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餐饮业经营者应当提供符合卫生标准的餐具，使用集中消毒套装收费餐具的经营者应当同时提供免费餐具供消费者选择。</w:t>
            </w:r>
          </w:p>
        </w:tc>
        <w:tc>
          <w:tcPr>
            <w:tcW w:w="4766" w:type="dxa"/>
            <w:tcBorders>
              <w:top w:val="nil"/>
              <w:left w:val="nil"/>
              <w:bottom w:val="single" w:color="auto" w:sz="4" w:space="0"/>
              <w:right w:val="single" w:color="auto" w:sz="4" w:space="0"/>
              <w:tl2br w:val="nil"/>
              <w:tr2bl w:val="nil"/>
            </w:tcBorders>
            <w:noWrap w:val="0"/>
            <w:vAlign w:val="center"/>
          </w:tcPr>
          <w:p w14:paraId="0DBBB473">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《江苏省消费者权益保护条例》第六十五条第二项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有下列情形之一，法律、法规对处罚机关和处罚方式已有规定的，从其规定；法律、法规未作规定的，由工商行政管理部门或者其他有关行政部门责令改正，没收违法所得，可以并处五千元以上五万元以下的罚款；情节严重的，处以五万元以上十万元以下的罚款，责令停业整顿：（二）违反第三十五条规定，未经显著方式明示收取费用或者未提供符合卫生条件的免费餐具供消费者选择的；</w:t>
            </w:r>
          </w:p>
        </w:tc>
      </w:tr>
      <w:tr w14:paraId="32F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nil"/>
              <w:left w:val="single" w:color="auto" w:sz="4" w:space="0"/>
              <w:bottom w:val="nil"/>
              <w:right w:val="single" w:color="auto" w:sz="4" w:space="0"/>
              <w:tl2br w:val="nil"/>
              <w:tr2bl w:val="nil"/>
            </w:tcBorders>
            <w:noWrap w:val="0"/>
            <w:vAlign w:val="center"/>
          </w:tcPr>
          <w:p w14:paraId="61EC8242">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药品、化妆品、医疗器械</w:t>
            </w:r>
          </w:p>
          <w:p w14:paraId="3031B0F7">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EEA3E45">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87</w:t>
            </w:r>
          </w:p>
        </w:tc>
        <w:tc>
          <w:tcPr>
            <w:tcW w:w="1712" w:type="dxa"/>
            <w:tcBorders>
              <w:top w:val="nil"/>
              <w:left w:val="nil"/>
              <w:bottom w:val="single" w:color="auto" w:sz="4" w:space="0"/>
              <w:right w:val="single" w:color="auto" w:sz="4" w:space="0"/>
              <w:tl2br w:val="nil"/>
              <w:tr2bl w:val="nil"/>
            </w:tcBorders>
            <w:noWrap w:val="0"/>
            <w:vAlign w:val="center"/>
          </w:tcPr>
          <w:p w14:paraId="69F956B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销售不符合药品标准的中药饮片</w:t>
            </w:r>
          </w:p>
        </w:tc>
        <w:tc>
          <w:tcPr>
            <w:tcW w:w="2421" w:type="dxa"/>
            <w:tcBorders>
              <w:top w:val="nil"/>
              <w:left w:val="nil"/>
              <w:bottom w:val="single" w:color="auto" w:sz="4" w:space="0"/>
              <w:right w:val="single" w:color="auto" w:sz="4" w:space="0"/>
              <w:tl2br w:val="nil"/>
              <w:tr2bl w:val="nil"/>
            </w:tcBorders>
            <w:noWrap w:val="0"/>
            <w:vAlign w:val="center"/>
          </w:tcPr>
          <w:p w14:paraId="6313E02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5489EF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24C74D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不影响安全性、有效性；</w:t>
            </w:r>
          </w:p>
          <w:p w14:paraId="5649370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货值金额较小，或违法行为持续时间较短；</w:t>
            </w:r>
          </w:p>
          <w:p w14:paraId="291B06C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履行了进货检查验收义务；      </w:t>
            </w:r>
          </w:p>
          <w:p w14:paraId="5BFB7EB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没有造成社会不良影响；</w:t>
            </w:r>
          </w:p>
          <w:p w14:paraId="0BD59976">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5FE7FC84">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《药品管理法》第二十八条第一款  </w:t>
            </w:r>
            <w:r>
              <w:rPr>
                <w:rFonts w:hint="eastAsia" w:ascii="Times New Roman" w:hAnsi="Times New Roman" w:eastAsia="方正仿宋_GBK"/>
                <w:kern w:val="0"/>
                <w:sz w:val="21"/>
                <w:szCs w:val="24"/>
              </w:rPr>
              <w:t>药品应当符合国家药品标准。经国务院药品监督管理部门核准的药品质量标准高于国家药品标准的，按照经核准的药品质量标准执行；没有国家药品标准的，应当符合经核准的药品质量标准。</w:t>
            </w:r>
          </w:p>
        </w:tc>
        <w:tc>
          <w:tcPr>
            <w:tcW w:w="4766" w:type="dxa"/>
            <w:tcBorders>
              <w:top w:val="nil"/>
              <w:left w:val="nil"/>
              <w:bottom w:val="single" w:color="auto" w:sz="4" w:space="0"/>
              <w:right w:val="single" w:color="auto" w:sz="4" w:space="0"/>
              <w:tl2br w:val="nil"/>
              <w:tr2bl w:val="nil"/>
            </w:tcBorders>
            <w:noWrap w:val="0"/>
            <w:vAlign w:val="center"/>
          </w:tcPr>
          <w:p w14:paraId="58DC53C5">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《药品管理法》第一百一十七条第二款  </w:t>
            </w:r>
            <w:r>
              <w:rPr>
                <w:rFonts w:hint="eastAsia" w:ascii="Times New Roman" w:hAnsi="Times New Roman" w:eastAsia="方正仿宋_GBK"/>
                <w:kern w:val="0"/>
                <w:sz w:val="21"/>
                <w:szCs w:val="24"/>
              </w:rPr>
              <w:t>生产、销售的中药饮片不符合药品标准，尚不影响安全性、有效性的，责令限期改正，给予警告；可以处十万元以上五十万元以下的罚款。</w:t>
            </w:r>
          </w:p>
        </w:tc>
      </w:tr>
      <w:tr w14:paraId="0B8D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nil"/>
              <w:left w:val="single" w:color="auto" w:sz="4" w:space="0"/>
              <w:bottom w:val="single" w:color="auto" w:sz="4" w:space="0"/>
              <w:right w:val="single" w:color="auto" w:sz="4" w:space="0"/>
              <w:tl2br w:val="nil"/>
              <w:tr2bl w:val="nil"/>
            </w:tcBorders>
            <w:noWrap w:val="0"/>
            <w:vAlign w:val="center"/>
          </w:tcPr>
          <w:p w14:paraId="0AF51E8B">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775EA6D6">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88</w:t>
            </w:r>
          </w:p>
        </w:tc>
        <w:tc>
          <w:tcPr>
            <w:tcW w:w="1712" w:type="dxa"/>
            <w:tcBorders>
              <w:top w:val="nil"/>
              <w:left w:val="nil"/>
              <w:bottom w:val="single" w:color="auto" w:sz="4" w:space="0"/>
              <w:right w:val="single" w:color="auto" w:sz="4" w:space="0"/>
              <w:tl2br w:val="nil"/>
              <w:tr2bl w:val="nil"/>
            </w:tcBorders>
            <w:noWrap w:val="0"/>
            <w:vAlign w:val="top"/>
          </w:tcPr>
          <w:p w14:paraId="09877F3C">
            <w:pPr>
              <w:widowControl/>
              <w:spacing w:beforeLines="0" w:afterLines="0" w:line="300" w:lineRule="exact"/>
              <w:rPr>
                <w:rFonts w:hint="default" w:ascii="Times New Roman" w:hAnsi="Times New Roman" w:eastAsia="方正仿宋_GBK"/>
                <w:kern w:val="0"/>
                <w:sz w:val="21"/>
                <w:szCs w:val="24"/>
              </w:rPr>
            </w:pPr>
          </w:p>
          <w:p w14:paraId="7C49E010">
            <w:pPr>
              <w:widowControl/>
              <w:spacing w:beforeLines="0" w:afterLines="0" w:line="300" w:lineRule="exact"/>
              <w:rPr>
                <w:rFonts w:hint="default" w:ascii="Times New Roman" w:hAnsi="Times New Roman" w:eastAsia="方正仿宋_GBK"/>
                <w:kern w:val="0"/>
                <w:sz w:val="21"/>
                <w:szCs w:val="24"/>
              </w:rPr>
            </w:pPr>
          </w:p>
          <w:p w14:paraId="6B46BDCC">
            <w:pPr>
              <w:widowControl/>
              <w:spacing w:beforeLines="0" w:afterLines="0" w:line="300" w:lineRule="exact"/>
              <w:rPr>
                <w:rFonts w:hint="default" w:ascii="Times New Roman" w:hAnsi="Times New Roman" w:eastAsia="方正仿宋_GBK"/>
                <w:kern w:val="0"/>
                <w:sz w:val="21"/>
                <w:szCs w:val="24"/>
              </w:rPr>
            </w:pPr>
          </w:p>
          <w:p w14:paraId="3DD797A7">
            <w:pPr>
              <w:widowControl/>
              <w:spacing w:beforeLines="0" w:afterLines="0" w:line="300" w:lineRule="exact"/>
              <w:rPr>
                <w:rFonts w:hint="default" w:ascii="Times New Roman" w:hAnsi="Times New Roman" w:eastAsia="方正仿宋_GBK"/>
                <w:kern w:val="0"/>
                <w:sz w:val="21"/>
                <w:szCs w:val="24"/>
              </w:rPr>
            </w:pPr>
          </w:p>
          <w:p w14:paraId="741ED3ED">
            <w:pPr>
              <w:widowControl/>
              <w:spacing w:beforeLines="0" w:afterLines="0" w:line="300" w:lineRule="exact"/>
              <w:rPr>
                <w:rFonts w:hint="default" w:ascii="Times New Roman" w:hAnsi="Times New Roman" w:eastAsia="方正仿宋_GBK"/>
                <w:kern w:val="0"/>
                <w:sz w:val="21"/>
                <w:szCs w:val="24"/>
              </w:rPr>
            </w:pPr>
          </w:p>
          <w:p w14:paraId="12C75E4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药品经营企业以药食同源的食品作为药品销售</w:t>
            </w:r>
          </w:p>
        </w:tc>
        <w:tc>
          <w:tcPr>
            <w:tcW w:w="2421" w:type="dxa"/>
            <w:tcBorders>
              <w:top w:val="nil"/>
              <w:left w:val="nil"/>
              <w:bottom w:val="single" w:color="auto" w:sz="4" w:space="0"/>
              <w:right w:val="single" w:color="auto" w:sz="4" w:space="0"/>
              <w:tl2br w:val="nil"/>
              <w:tr2bl w:val="nil"/>
            </w:tcBorders>
            <w:noWrap w:val="0"/>
            <w:vAlign w:val="top"/>
          </w:tcPr>
          <w:p w14:paraId="577C090F">
            <w:pPr>
              <w:widowControl/>
              <w:spacing w:beforeLines="0" w:afterLines="0" w:line="300" w:lineRule="exact"/>
              <w:rPr>
                <w:rFonts w:hint="default" w:ascii="Times New Roman" w:hAnsi="Times New Roman" w:eastAsia="方正仿宋_GBK"/>
                <w:kern w:val="0"/>
                <w:sz w:val="21"/>
                <w:szCs w:val="24"/>
              </w:rPr>
            </w:pPr>
          </w:p>
          <w:p w14:paraId="691E3FDC">
            <w:pPr>
              <w:widowControl/>
              <w:spacing w:beforeLines="0" w:afterLines="0" w:line="300" w:lineRule="exact"/>
              <w:rPr>
                <w:rFonts w:hint="default" w:ascii="Times New Roman" w:hAnsi="Times New Roman" w:eastAsia="方正仿宋_GBK"/>
                <w:kern w:val="0"/>
                <w:sz w:val="21"/>
                <w:szCs w:val="24"/>
              </w:rPr>
            </w:pPr>
          </w:p>
          <w:p w14:paraId="501F36D9">
            <w:pPr>
              <w:widowControl/>
              <w:spacing w:beforeLines="0" w:afterLines="0" w:line="300" w:lineRule="exact"/>
              <w:rPr>
                <w:rFonts w:hint="default" w:ascii="Times New Roman" w:hAnsi="Times New Roman" w:eastAsia="方正仿宋_GBK"/>
                <w:kern w:val="0"/>
                <w:sz w:val="21"/>
                <w:szCs w:val="24"/>
              </w:rPr>
            </w:pPr>
          </w:p>
          <w:p w14:paraId="0B616F0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同时具备以下条件，免予罚款：</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未违反《药品管理法》和《药品管理法实施条例》有关规定，并有充分证据证明其不知道所销售的药材是食品或者食用农产品；</w:t>
            </w:r>
          </w:p>
          <w:p w14:paraId="35A1B24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top"/>
          </w:tcPr>
          <w:p w14:paraId="356C798F">
            <w:pPr>
              <w:widowControl/>
              <w:spacing w:beforeLines="0" w:afterLines="0" w:line="300" w:lineRule="exact"/>
              <w:rPr>
                <w:rFonts w:hint="default" w:ascii="Times New Roman" w:hAnsi="Times New Roman" w:eastAsia="方正仿宋_GBK"/>
                <w:b/>
                <w:kern w:val="0"/>
                <w:sz w:val="21"/>
                <w:szCs w:val="24"/>
              </w:rPr>
            </w:pPr>
          </w:p>
          <w:p w14:paraId="05CF61BA">
            <w:pPr>
              <w:widowControl/>
              <w:spacing w:beforeLines="0" w:afterLines="0" w:line="300" w:lineRule="exact"/>
              <w:rPr>
                <w:rFonts w:hint="default" w:ascii="Times New Roman" w:hAnsi="Times New Roman" w:eastAsia="方正仿宋_GBK"/>
                <w:b/>
                <w:kern w:val="0"/>
                <w:sz w:val="21"/>
                <w:szCs w:val="24"/>
              </w:rPr>
            </w:pPr>
          </w:p>
          <w:p w14:paraId="25FCF5FC">
            <w:pPr>
              <w:widowControl/>
              <w:spacing w:beforeLines="0" w:afterLines="0" w:line="300" w:lineRule="exact"/>
              <w:rPr>
                <w:rFonts w:hint="default" w:ascii="Times New Roman" w:hAnsi="Times New Roman" w:eastAsia="方正仿宋_GBK"/>
                <w:b/>
                <w:kern w:val="0"/>
                <w:sz w:val="21"/>
                <w:szCs w:val="24"/>
              </w:rPr>
            </w:pPr>
          </w:p>
          <w:p w14:paraId="2DE8E855">
            <w:pPr>
              <w:widowControl/>
              <w:spacing w:beforeLines="0" w:afterLines="0" w:line="300" w:lineRule="exact"/>
              <w:rPr>
                <w:rFonts w:hint="default" w:ascii="Times New Roman" w:hAnsi="Times New Roman" w:eastAsia="方正仿宋_GBK"/>
                <w:b/>
                <w:kern w:val="0"/>
                <w:sz w:val="21"/>
                <w:szCs w:val="24"/>
              </w:rPr>
            </w:pPr>
          </w:p>
          <w:p w14:paraId="14A1070E">
            <w:pPr>
              <w:widowControl/>
              <w:spacing w:beforeLines="0" w:afterLines="0" w:line="300" w:lineRule="exact"/>
              <w:rPr>
                <w:rFonts w:hint="default" w:ascii="Times New Roman" w:hAnsi="Times New Roman" w:eastAsia="方正仿宋_GBK"/>
                <w:b/>
                <w:kern w:val="0"/>
                <w:sz w:val="21"/>
                <w:szCs w:val="24"/>
              </w:rPr>
            </w:pPr>
          </w:p>
          <w:p w14:paraId="34E8624F">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《药品管理法》第九十八条第一款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禁止生产（包括配制，下同）、销售、使用假药、劣药。</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第二款第二项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有下列情形之一的，为假药：（二）以非药品冒充药品或者以他种药品冒充此种药品；</w:t>
            </w:r>
          </w:p>
        </w:tc>
        <w:tc>
          <w:tcPr>
            <w:tcW w:w="4766" w:type="dxa"/>
            <w:tcBorders>
              <w:top w:val="nil"/>
              <w:left w:val="nil"/>
              <w:bottom w:val="single" w:color="auto" w:sz="4" w:space="0"/>
              <w:right w:val="single" w:color="auto" w:sz="4" w:space="0"/>
              <w:tl2br w:val="nil"/>
              <w:tr2bl w:val="nil"/>
            </w:tcBorders>
            <w:noWrap w:val="0"/>
            <w:vAlign w:val="top"/>
          </w:tcPr>
          <w:p w14:paraId="47EB012B">
            <w:pPr>
              <w:pStyle w:val="2"/>
              <w:adjustRightInd w:val="0"/>
              <w:snapToGrid w:val="0"/>
              <w:spacing w:beforeLines="0" w:afterLines="0" w:line="280" w:lineRule="exact"/>
              <w:ind w:firstLine="0" w:firstLineChars="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《药品管理法》第一百一十六条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117F016C">
            <w:pPr>
              <w:pStyle w:val="2"/>
              <w:adjustRightInd w:val="0"/>
              <w:snapToGrid w:val="0"/>
              <w:spacing w:beforeLines="0" w:afterLines="0" w:line="280" w:lineRule="exact"/>
              <w:ind w:firstLine="0" w:firstLineChars="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《药品管理法实施条例》第七十五条</w:t>
            </w:r>
            <w:r>
              <w:rPr>
                <w:rFonts w:hint="eastAsia" w:ascii="Times New Roman" w:hAnsi="Times New Roman" w:eastAsia="方正仿宋_GBK"/>
                <w:kern w:val="0"/>
                <w:sz w:val="21"/>
                <w:szCs w:val="24"/>
              </w:rPr>
              <w:t>　药品经营企业、医疗机构未违反《药品管理法》和本条例的有关规定，并有充分证据证明其不知道所销售或者使用的药品是假药、劣药的，应当没收其销售或者使用的假药、劣药和违法所得；但是，可以免除其他行政处罚。</w:t>
            </w:r>
          </w:p>
        </w:tc>
      </w:tr>
      <w:tr w14:paraId="42A1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D7BBE">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081C4EC3">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89</w:t>
            </w:r>
          </w:p>
        </w:tc>
        <w:tc>
          <w:tcPr>
            <w:tcW w:w="1712" w:type="dxa"/>
            <w:tcBorders>
              <w:top w:val="nil"/>
              <w:left w:val="nil"/>
              <w:bottom w:val="single" w:color="auto" w:sz="4" w:space="0"/>
              <w:right w:val="single" w:color="auto" w:sz="4" w:space="0"/>
              <w:tl2br w:val="nil"/>
              <w:tr2bl w:val="nil"/>
            </w:tcBorders>
            <w:noWrap w:val="0"/>
            <w:vAlign w:val="top"/>
          </w:tcPr>
          <w:p w14:paraId="60596A9A">
            <w:pPr>
              <w:widowControl/>
              <w:spacing w:beforeLines="0" w:afterLines="0" w:line="300" w:lineRule="exact"/>
              <w:rPr>
                <w:rFonts w:hint="default" w:ascii="Times New Roman" w:hAnsi="Times New Roman" w:eastAsia="方正仿宋_GBK"/>
                <w:kern w:val="0"/>
                <w:sz w:val="21"/>
                <w:szCs w:val="24"/>
              </w:rPr>
            </w:pPr>
          </w:p>
          <w:p w14:paraId="14DEA25E">
            <w:pPr>
              <w:widowControl/>
              <w:spacing w:beforeLines="0" w:afterLines="0" w:line="300" w:lineRule="exact"/>
              <w:rPr>
                <w:rFonts w:hint="default" w:ascii="Times New Roman" w:hAnsi="Times New Roman" w:eastAsia="方正仿宋_GBK"/>
                <w:kern w:val="0"/>
                <w:sz w:val="21"/>
                <w:szCs w:val="24"/>
              </w:rPr>
            </w:pPr>
          </w:p>
          <w:p w14:paraId="5A7B9517">
            <w:pPr>
              <w:widowControl/>
              <w:spacing w:beforeLines="0" w:afterLines="0" w:line="300" w:lineRule="exact"/>
              <w:rPr>
                <w:rFonts w:hint="default" w:ascii="Times New Roman" w:hAnsi="Times New Roman" w:eastAsia="方正仿宋_GBK"/>
                <w:kern w:val="0"/>
                <w:sz w:val="21"/>
                <w:szCs w:val="24"/>
              </w:rPr>
            </w:pPr>
          </w:p>
          <w:p w14:paraId="0EE08247">
            <w:pPr>
              <w:widowControl/>
              <w:spacing w:beforeLines="0" w:afterLines="0" w:line="300" w:lineRule="exact"/>
              <w:rPr>
                <w:rFonts w:hint="default" w:ascii="Times New Roman" w:hAnsi="Times New Roman" w:eastAsia="方正仿宋_GBK"/>
                <w:kern w:val="0"/>
                <w:sz w:val="21"/>
                <w:szCs w:val="24"/>
              </w:rPr>
            </w:pPr>
          </w:p>
          <w:p w14:paraId="386AFC79">
            <w:pPr>
              <w:widowControl/>
              <w:spacing w:beforeLines="0" w:afterLines="0" w:line="300" w:lineRule="exact"/>
              <w:rPr>
                <w:rFonts w:hint="default" w:ascii="Times New Roman" w:hAnsi="Times New Roman" w:eastAsia="方正仿宋_GBK"/>
                <w:kern w:val="0"/>
                <w:sz w:val="21"/>
                <w:szCs w:val="24"/>
              </w:rPr>
            </w:pPr>
          </w:p>
          <w:p w14:paraId="7478E4A0">
            <w:pPr>
              <w:widowControl/>
              <w:spacing w:beforeLines="0" w:afterLines="0" w:line="300" w:lineRule="exact"/>
              <w:rPr>
                <w:rFonts w:hint="default" w:ascii="Times New Roman" w:hAnsi="Times New Roman" w:eastAsia="方正仿宋_GBK"/>
                <w:kern w:val="0"/>
                <w:sz w:val="21"/>
                <w:szCs w:val="24"/>
              </w:rPr>
            </w:pPr>
          </w:p>
          <w:p w14:paraId="2EF2AC37">
            <w:pPr>
              <w:widowControl/>
              <w:spacing w:beforeLines="0" w:afterLines="0" w:line="300" w:lineRule="exact"/>
              <w:rPr>
                <w:rFonts w:hint="default" w:ascii="Times New Roman" w:hAnsi="Times New Roman" w:eastAsia="方正仿宋_GBK"/>
                <w:kern w:val="0"/>
                <w:sz w:val="21"/>
                <w:szCs w:val="24"/>
              </w:rPr>
            </w:pPr>
          </w:p>
          <w:p w14:paraId="6AF035D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未经批准进口少量境外已合法上市的药品</w:t>
            </w:r>
          </w:p>
        </w:tc>
        <w:tc>
          <w:tcPr>
            <w:tcW w:w="2421" w:type="dxa"/>
            <w:tcBorders>
              <w:top w:val="nil"/>
              <w:left w:val="nil"/>
              <w:bottom w:val="single" w:color="auto" w:sz="4" w:space="0"/>
              <w:right w:val="single" w:color="auto" w:sz="4" w:space="0"/>
              <w:tl2br w:val="nil"/>
              <w:tr2bl w:val="nil"/>
            </w:tcBorders>
            <w:noWrap w:val="0"/>
            <w:vAlign w:val="top"/>
          </w:tcPr>
          <w:p w14:paraId="7ED73DB0">
            <w:pPr>
              <w:widowControl/>
              <w:spacing w:beforeLines="0" w:afterLines="0" w:line="300" w:lineRule="exact"/>
              <w:rPr>
                <w:rFonts w:hint="default" w:ascii="Times New Roman" w:hAnsi="Times New Roman" w:eastAsia="方正仿宋_GBK"/>
                <w:kern w:val="0"/>
                <w:sz w:val="21"/>
                <w:szCs w:val="24"/>
              </w:rPr>
            </w:pPr>
          </w:p>
          <w:p w14:paraId="25850E35">
            <w:pPr>
              <w:widowControl/>
              <w:spacing w:beforeLines="0" w:afterLines="0" w:line="300" w:lineRule="exact"/>
              <w:rPr>
                <w:rFonts w:hint="default" w:ascii="Times New Roman" w:hAnsi="Times New Roman" w:eastAsia="方正仿宋_GBK"/>
                <w:kern w:val="0"/>
                <w:sz w:val="21"/>
                <w:szCs w:val="24"/>
              </w:rPr>
            </w:pPr>
          </w:p>
          <w:p w14:paraId="363E34A7">
            <w:pPr>
              <w:widowControl/>
              <w:spacing w:beforeLines="0" w:afterLines="0" w:line="300" w:lineRule="exact"/>
              <w:rPr>
                <w:rFonts w:hint="default" w:ascii="Times New Roman" w:hAnsi="Times New Roman" w:eastAsia="方正仿宋_GBK"/>
                <w:kern w:val="0"/>
                <w:sz w:val="21"/>
                <w:szCs w:val="24"/>
              </w:rPr>
            </w:pPr>
          </w:p>
          <w:p w14:paraId="5CCE2C0E">
            <w:pPr>
              <w:widowControl/>
              <w:spacing w:beforeLines="0" w:afterLines="0" w:line="300" w:lineRule="exact"/>
              <w:rPr>
                <w:rFonts w:hint="default" w:ascii="Times New Roman" w:hAnsi="Times New Roman" w:eastAsia="方正仿宋_GBK"/>
                <w:kern w:val="0"/>
                <w:sz w:val="21"/>
                <w:szCs w:val="24"/>
              </w:rPr>
            </w:pPr>
          </w:p>
          <w:p w14:paraId="572CE865">
            <w:pPr>
              <w:widowControl/>
              <w:spacing w:beforeLines="0" w:afterLines="0" w:line="300" w:lineRule="exact"/>
              <w:rPr>
                <w:rFonts w:hint="default" w:ascii="Times New Roman" w:hAnsi="Times New Roman" w:eastAsia="方正仿宋_GBK"/>
                <w:kern w:val="0"/>
                <w:sz w:val="21"/>
                <w:szCs w:val="24"/>
              </w:rPr>
            </w:pPr>
          </w:p>
          <w:p w14:paraId="2F9EF5C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8EB0D40">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15A0DFA8">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进口药品货值金额较小，或数量较少；        </w:t>
            </w:r>
          </w:p>
          <w:p w14:paraId="5354BFF5">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用于治疗重大疾病；</w:t>
            </w:r>
          </w:p>
          <w:p w14:paraId="7C5EFA47">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药品可溯源，系国外已合法上市药品；</w:t>
            </w:r>
          </w:p>
          <w:p w14:paraId="244480C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top"/>
          </w:tcPr>
          <w:p w14:paraId="06E1B711">
            <w:pPr>
              <w:widowControl/>
              <w:spacing w:beforeLines="0" w:afterLines="0" w:line="300" w:lineRule="exact"/>
              <w:rPr>
                <w:rFonts w:hint="default" w:ascii="Times New Roman" w:hAnsi="Times New Roman" w:eastAsia="方正仿宋_GBK"/>
                <w:b/>
                <w:kern w:val="0"/>
                <w:sz w:val="21"/>
                <w:szCs w:val="24"/>
              </w:rPr>
            </w:pPr>
          </w:p>
          <w:p w14:paraId="50123190">
            <w:pPr>
              <w:widowControl/>
              <w:spacing w:beforeLines="0" w:afterLines="0" w:line="300" w:lineRule="exact"/>
              <w:rPr>
                <w:rFonts w:hint="default" w:ascii="Times New Roman" w:hAnsi="Times New Roman" w:eastAsia="方正仿宋_GBK"/>
                <w:b/>
                <w:kern w:val="0"/>
                <w:sz w:val="21"/>
                <w:szCs w:val="24"/>
              </w:rPr>
            </w:pPr>
          </w:p>
          <w:p w14:paraId="2BD6C253">
            <w:pPr>
              <w:widowControl/>
              <w:spacing w:beforeLines="0" w:afterLines="0" w:line="300" w:lineRule="exact"/>
              <w:rPr>
                <w:rFonts w:hint="default" w:ascii="Times New Roman" w:hAnsi="Times New Roman" w:eastAsia="方正仿宋_GBK"/>
                <w:b/>
                <w:kern w:val="0"/>
                <w:sz w:val="21"/>
                <w:szCs w:val="24"/>
              </w:rPr>
            </w:pPr>
          </w:p>
          <w:p w14:paraId="75358167">
            <w:pPr>
              <w:widowControl/>
              <w:spacing w:beforeLines="0" w:afterLines="0" w:line="300" w:lineRule="exact"/>
              <w:rPr>
                <w:rFonts w:hint="default" w:ascii="Times New Roman" w:hAnsi="Times New Roman" w:eastAsia="方正仿宋_GBK"/>
                <w:b/>
                <w:kern w:val="0"/>
                <w:sz w:val="21"/>
                <w:szCs w:val="24"/>
              </w:rPr>
            </w:pPr>
          </w:p>
          <w:p w14:paraId="187B2F16">
            <w:pPr>
              <w:widowControl/>
              <w:spacing w:beforeLines="0" w:afterLines="0" w:line="300" w:lineRule="exact"/>
              <w:rPr>
                <w:rFonts w:hint="default" w:ascii="Times New Roman" w:hAnsi="Times New Roman" w:eastAsia="方正仿宋_GBK"/>
                <w:b/>
                <w:kern w:val="0"/>
                <w:sz w:val="21"/>
                <w:szCs w:val="24"/>
              </w:rPr>
            </w:pPr>
          </w:p>
          <w:p w14:paraId="32883450">
            <w:pPr>
              <w:widowControl/>
              <w:spacing w:beforeLines="0" w:afterLines="0" w:line="300" w:lineRule="exact"/>
              <w:rPr>
                <w:rFonts w:hint="default" w:ascii="Times New Roman" w:hAnsi="Times New Roman" w:eastAsia="方正仿宋_GBK"/>
                <w:b/>
                <w:kern w:val="0"/>
                <w:sz w:val="21"/>
                <w:szCs w:val="24"/>
              </w:rPr>
            </w:pPr>
          </w:p>
          <w:p w14:paraId="69FC9A62">
            <w:pPr>
              <w:widowControl/>
              <w:spacing w:beforeLines="0" w:afterLines="0" w:line="300" w:lineRule="exact"/>
              <w:rPr>
                <w:rFonts w:hint="default" w:ascii="Times New Roman" w:hAnsi="Times New Roman" w:eastAsia="方正仿宋_GBK"/>
                <w:b/>
                <w:kern w:val="0"/>
                <w:sz w:val="21"/>
                <w:szCs w:val="24"/>
              </w:rPr>
            </w:pPr>
          </w:p>
          <w:p w14:paraId="42DFF73C">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《药品管理法》第九十八条第四款  </w:t>
            </w:r>
            <w:r>
              <w:rPr>
                <w:rFonts w:hint="eastAsia" w:ascii="Times New Roman" w:hAnsi="Times New Roman" w:eastAsia="方正仿宋_GBK"/>
                <w:kern w:val="0"/>
                <w:sz w:val="21"/>
                <w:szCs w:val="24"/>
              </w:rPr>
              <w:t>禁止未取得药品批准证明文件生产、进口药品；禁止使用未按照规定审评、审批的原料药、包装材料和容器生产药品。</w:t>
            </w:r>
          </w:p>
        </w:tc>
        <w:tc>
          <w:tcPr>
            <w:tcW w:w="4766" w:type="dxa"/>
            <w:tcBorders>
              <w:top w:val="nil"/>
              <w:left w:val="nil"/>
              <w:bottom w:val="single" w:color="auto" w:sz="4" w:space="0"/>
              <w:right w:val="single" w:color="auto" w:sz="4" w:space="0"/>
              <w:tl2br w:val="nil"/>
              <w:tr2bl w:val="nil"/>
            </w:tcBorders>
            <w:noWrap w:val="0"/>
            <w:vAlign w:val="top"/>
          </w:tcPr>
          <w:p w14:paraId="3711E3D0">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《药品管理法》第一百二十四条  </w:t>
            </w:r>
            <w:r>
              <w:rPr>
                <w:rFonts w:hint="eastAsia" w:ascii="Times New Roman" w:hAnsi="Times New Roman" w:eastAsia="方正仿宋_GBK"/>
                <w:kern w:val="0"/>
                <w:sz w:val="21"/>
                <w:szCs w:val="24"/>
              </w:rPr>
              <w:t>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w:t>
            </w:r>
          </w:p>
          <w:p w14:paraId="1AE718D6">
            <w:pPr>
              <w:widowControl/>
              <w:spacing w:beforeLines="0" w:afterLines="0" w:line="26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14AA475E">
            <w:pPr>
              <w:widowControl/>
              <w:spacing w:beforeLines="0" w:afterLines="0" w:line="260" w:lineRule="exact"/>
              <w:ind w:firstLine="374" w:firstLineChars="200"/>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未经批准进口少量境外已合法上市的药品，情节较轻的，可以依法减轻或者免予处罚。</w:t>
            </w:r>
          </w:p>
        </w:tc>
      </w:tr>
      <w:tr w14:paraId="4258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64608409">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3A225369">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90</w:t>
            </w:r>
          </w:p>
        </w:tc>
        <w:tc>
          <w:tcPr>
            <w:tcW w:w="1712" w:type="dxa"/>
            <w:tcBorders>
              <w:top w:val="nil"/>
              <w:left w:val="nil"/>
              <w:bottom w:val="single" w:color="auto" w:sz="4" w:space="0"/>
              <w:right w:val="single" w:color="auto" w:sz="4" w:space="0"/>
              <w:tl2br w:val="nil"/>
              <w:tr2bl w:val="nil"/>
            </w:tcBorders>
            <w:noWrap w:val="0"/>
            <w:vAlign w:val="center"/>
          </w:tcPr>
          <w:p w14:paraId="7E49CCBB">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美容美发机构、宾馆等在经营中使用或者为消费者提供标签不符合规定的化妆品</w:t>
            </w:r>
          </w:p>
        </w:tc>
        <w:tc>
          <w:tcPr>
            <w:tcW w:w="2421" w:type="dxa"/>
            <w:tcBorders>
              <w:top w:val="nil"/>
              <w:left w:val="nil"/>
              <w:bottom w:val="single" w:color="auto" w:sz="4" w:space="0"/>
              <w:right w:val="single" w:color="auto" w:sz="4" w:space="0"/>
              <w:tl2br w:val="nil"/>
              <w:tr2bl w:val="nil"/>
            </w:tcBorders>
            <w:noWrap w:val="0"/>
            <w:vAlign w:val="center"/>
          </w:tcPr>
          <w:p w14:paraId="431DB9E0">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26D0CE6">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30B51F4E">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经营的化妆品为合格的普通用途化妆品；</w:t>
            </w:r>
          </w:p>
          <w:p w14:paraId="35A714A9">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经营的化妆品能够说明合法来源；</w:t>
            </w:r>
          </w:p>
          <w:p w14:paraId="24F4985B">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没有对人体健康造成危害后果；</w:t>
            </w:r>
          </w:p>
          <w:p w14:paraId="61F65BCE">
            <w:pPr>
              <w:pStyle w:val="2"/>
              <w:widowControl/>
              <w:adjustRightInd w:val="0"/>
              <w:snapToGrid w:val="0"/>
              <w:spacing w:beforeLines="0" w:afterLines="0" w:line="300" w:lineRule="exact"/>
              <w:ind w:firstLine="0" w:firstLineChars="0"/>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EB58214">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《化妆品监督管理条例》第三十五条第一款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化妆品的最小销售单元应当有标签。标签应当符合相关法律、行政法规、强制性国家标准，内容真实、完整、准确。                       </w:t>
            </w:r>
          </w:p>
          <w:p w14:paraId="0D27FAD3">
            <w:pPr>
              <w:widowControl/>
              <w:spacing w:beforeLines="0" w:afterLines="0" w:line="26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第三十六条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化妆品标签应当标注下列内容：（一）产品名称、特殊化妆品注册证编号；（二）注册人、备案人、受托生产企业的名称、地址；（三）化妆品生产许可证编号；（四）产品执行的标准编号；（五）全成分；（六）净含量；（七）使用期限、使用方法以及必要的安全警示；（八）法律、行政法规和强制性国家标准规定应当标注的其他内容。</w:t>
            </w:r>
          </w:p>
          <w:p w14:paraId="53727A9C">
            <w:pPr>
              <w:pStyle w:val="2"/>
              <w:widowControl/>
              <w:adjustRightInd w:val="0"/>
              <w:snapToGrid w:val="0"/>
              <w:spacing w:beforeLines="0" w:afterLines="0" w:line="260" w:lineRule="exact"/>
              <w:ind w:firstLine="422"/>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第四十二条</w:t>
            </w:r>
            <w:r>
              <w:rPr>
                <w:rFonts w:hint="default" w:ascii="Times New Roman" w:hAnsi="Times New Roman" w:eastAsia="方正仿宋_GBK"/>
                <w:sz w:val="21"/>
                <w:szCs w:val="24"/>
              </w:rPr>
              <w:t xml:space="preserve">  </w:t>
            </w:r>
            <w:r>
              <w:rPr>
                <w:rFonts w:hint="eastAsia" w:ascii="Times New Roman" w:hAnsi="Times New Roman" w:eastAsia="方正仿宋_GBK"/>
                <w:kern w:val="0"/>
                <w:sz w:val="21"/>
                <w:szCs w:val="24"/>
              </w:rPr>
              <w:t>美容美发机构、宾馆等在经营中使用化妆品或者为消费者提供化妆品的，应当履行本条例规定的化妆品经营者义务。</w:t>
            </w:r>
          </w:p>
        </w:tc>
        <w:tc>
          <w:tcPr>
            <w:tcW w:w="4766" w:type="dxa"/>
            <w:tcBorders>
              <w:top w:val="nil"/>
              <w:left w:val="nil"/>
              <w:bottom w:val="single" w:color="auto" w:sz="4" w:space="0"/>
              <w:right w:val="single" w:color="auto" w:sz="4" w:space="0"/>
              <w:tl2br w:val="nil"/>
              <w:tr2bl w:val="nil"/>
            </w:tcBorders>
            <w:noWrap w:val="0"/>
            <w:vAlign w:val="center"/>
          </w:tcPr>
          <w:p w14:paraId="1C0ABD2A">
            <w:pPr>
              <w:widowControl/>
              <w:spacing w:beforeLines="0" w:afterLines="0" w:line="28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《化妆品监督管理条例》第六十一条第一款第五项  </w:t>
            </w:r>
            <w:r>
              <w:rPr>
                <w:rFonts w:hint="eastAsia" w:ascii="Times New Roman" w:hAnsi="Times New Roman" w:eastAsia="方正仿宋_GBK"/>
                <w:kern w:val="0"/>
                <w:sz w:val="21"/>
                <w:szCs w:val="24"/>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r>
              <w:rPr>
                <w:rFonts w:hint="default" w:ascii="Times New Roman" w:hAnsi="Times New Roman" w:eastAsia="方正仿宋_GBK"/>
                <w:b/>
                <w:kern w:val="0"/>
                <w:sz w:val="21"/>
                <w:szCs w:val="24"/>
              </w:rPr>
              <w:t xml:space="preserve">  </w:t>
            </w:r>
          </w:p>
        </w:tc>
      </w:tr>
      <w:tr w14:paraId="2CF5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5738FB08">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109093EC">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91</w:t>
            </w:r>
          </w:p>
        </w:tc>
        <w:tc>
          <w:tcPr>
            <w:tcW w:w="1712" w:type="dxa"/>
            <w:tcBorders>
              <w:top w:val="nil"/>
              <w:left w:val="nil"/>
              <w:bottom w:val="single" w:color="auto" w:sz="4" w:space="0"/>
              <w:right w:val="single" w:color="auto" w:sz="4" w:space="0"/>
              <w:tl2br w:val="nil"/>
              <w:tr2bl w:val="nil"/>
            </w:tcBorders>
            <w:noWrap w:val="0"/>
            <w:vAlign w:val="center"/>
          </w:tcPr>
          <w:p w14:paraId="36FAFC61">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生产经营进口化妆品无中文标签/加贴的中文标签内容与原标签内容不一致的化妆品</w:t>
            </w:r>
          </w:p>
        </w:tc>
        <w:tc>
          <w:tcPr>
            <w:tcW w:w="2421" w:type="dxa"/>
            <w:tcBorders>
              <w:top w:val="nil"/>
              <w:left w:val="nil"/>
              <w:bottom w:val="single" w:color="auto" w:sz="4" w:space="0"/>
              <w:right w:val="single" w:color="auto" w:sz="4" w:space="0"/>
              <w:tl2br w:val="nil"/>
              <w:tr2bl w:val="nil"/>
            </w:tcBorders>
            <w:noWrap w:val="0"/>
            <w:vAlign w:val="center"/>
          </w:tcPr>
          <w:p w14:paraId="318D56E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90FA41C">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7F2F4B7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案涉化妆品数量较少或货值金额较小； </w:t>
            </w:r>
          </w:p>
          <w:p w14:paraId="5510CDC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经营的化妆品为合格的普通用途化妆品；</w:t>
            </w:r>
          </w:p>
          <w:p w14:paraId="174F99F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没有对人体健康造成危害；</w:t>
            </w:r>
          </w:p>
          <w:p w14:paraId="7FC146A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18E8AE65">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《化妆品监督管理条例》第三十五条第二款  </w:t>
            </w:r>
            <w:r>
              <w:rPr>
                <w:rFonts w:hint="eastAsia" w:ascii="Times New Roman" w:hAnsi="Times New Roman" w:eastAsia="方正仿宋_GBK"/>
                <w:kern w:val="0"/>
                <w:sz w:val="21"/>
                <w:szCs w:val="24"/>
              </w:rPr>
              <w:t>进口化妆品可以直接使用中文标签，也可以加贴中文标签；加贴中文标签的，中文标签内容应当与原标签内容一致。</w:t>
            </w:r>
          </w:p>
        </w:tc>
        <w:tc>
          <w:tcPr>
            <w:tcW w:w="4766" w:type="dxa"/>
            <w:tcBorders>
              <w:top w:val="nil"/>
              <w:left w:val="nil"/>
              <w:bottom w:val="single" w:color="auto" w:sz="4" w:space="0"/>
              <w:right w:val="single" w:color="auto" w:sz="4" w:space="0"/>
              <w:tl2br w:val="nil"/>
              <w:tr2bl w:val="nil"/>
            </w:tcBorders>
            <w:noWrap w:val="0"/>
            <w:vAlign w:val="center"/>
          </w:tcPr>
          <w:p w14:paraId="55BED306">
            <w:pPr>
              <w:keepNext w:val="0"/>
              <w:keepLines w:val="0"/>
              <w:pageBreakBefore w:val="0"/>
              <w:widowControl/>
              <w:kinsoku/>
              <w:wordWrap/>
              <w:overflowPunct/>
              <w:topLinePunct w:val="0"/>
              <w:autoSpaceDE/>
              <w:autoSpaceDN/>
              <w:bidi w:val="0"/>
              <w:adjustRightInd w:val="0"/>
              <w:snapToGrid w:val="0"/>
              <w:spacing w:beforeLines="0" w:afterLines="0" w:line="27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《化妆品监督管理条例》第六十一条第一款第五项  </w:t>
            </w:r>
            <w:r>
              <w:rPr>
                <w:rFonts w:hint="eastAsia" w:ascii="Times New Roman" w:hAnsi="Times New Roman" w:eastAsia="方正仿宋_GBK"/>
                <w:kern w:val="0"/>
                <w:sz w:val="21"/>
                <w:szCs w:val="24"/>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tc>
      </w:tr>
      <w:tr w14:paraId="09DB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nil"/>
              <w:right w:val="single" w:color="auto" w:sz="4" w:space="0"/>
              <w:tl2br w:val="nil"/>
              <w:tr2bl w:val="nil"/>
            </w:tcBorders>
            <w:noWrap w:val="0"/>
            <w:vAlign w:val="center"/>
          </w:tcPr>
          <w:p w14:paraId="79772E3F">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A0CC24B">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92</w:t>
            </w:r>
          </w:p>
        </w:tc>
        <w:tc>
          <w:tcPr>
            <w:tcW w:w="1712" w:type="dxa"/>
            <w:tcBorders>
              <w:top w:val="nil"/>
              <w:left w:val="nil"/>
              <w:bottom w:val="single" w:color="auto" w:sz="4" w:space="0"/>
              <w:right w:val="single" w:color="auto" w:sz="4" w:space="0"/>
              <w:tl2br w:val="nil"/>
              <w:tr2bl w:val="nil"/>
            </w:tcBorders>
            <w:noWrap w:val="0"/>
            <w:vAlign w:val="center"/>
          </w:tcPr>
          <w:p w14:paraId="3BA42CA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化妆品经营者未按规定建立并执行进货查验记录制度</w:t>
            </w:r>
          </w:p>
        </w:tc>
        <w:tc>
          <w:tcPr>
            <w:tcW w:w="2421" w:type="dxa"/>
            <w:tcBorders>
              <w:top w:val="nil"/>
              <w:left w:val="nil"/>
              <w:bottom w:val="single" w:color="auto" w:sz="4" w:space="0"/>
              <w:right w:val="single" w:color="auto" w:sz="4" w:space="0"/>
              <w:tl2br w:val="nil"/>
              <w:tr2bl w:val="nil"/>
            </w:tcBorders>
            <w:noWrap w:val="0"/>
            <w:vAlign w:val="center"/>
          </w:tcPr>
          <w:p w14:paraId="2CB3813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06DACEB">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7ECE6DE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经营的化妆品为合格的普通用途化妆品；               </w:t>
            </w:r>
          </w:p>
          <w:p w14:paraId="61AF8D5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可追溯进货来源；                4.及时改正。</w:t>
            </w:r>
          </w:p>
        </w:tc>
        <w:tc>
          <w:tcPr>
            <w:tcW w:w="4771" w:type="dxa"/>
            <w:tcBorders>
              <w:top w:val="nil"/>
              <w:left w:val="nil"/>
              <w:bottom w:val="single" w:color="auto" w:sz="4" w:space="0"/>
              <w:right w:val="single" w:color="auto" w:sz="4" w:space="0"/>
              <w:tl2br w:val="nil"/>
              <w:tr2bl w:val="nil"/>
            </w:tcBorders>
            <w:noWrap w:val="0"/>
            <w:vAlign w:val="center"/>
          </w:tcPr>
          <w:p w14:paraId="4C283ECA">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《化妆品监督管理条例》第三十八条第一款  </w:t>
            </w:r>
            <w:r>
              <w:rPr>
                <w:rFonts w:hint="eastAsia" w:ascii="Times New Roman" w:hAnsi="Times New Roman" w:eastAsia="方正仿宋_GBK"/>
                <w:kern w:val="0"/>
                <w:sz w:val="21"/>
                <w:szCs w:val="24"/>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tc>
        <w:tc>
          <w:tcPr>
            <w:tcW w:w="4766" w:type="dxa"/>
            <w:tcBorders>
              <w:top w:val="nil"/>
              <w:left w:val="nil"/>
              <w:bottom w:val="single" w:color="auto" w:sz="4" w:space="0"/>
              <w:right w:val="single" w:color="auto" w:sz="4" w:space="0"/>
              <w:tl2br w:val="nil"/>
              <w:tr2bl w:val="nil"/>
            </w:tcBorders>
            <w:noWrap w:val="0"/>
            <w:vAlign w:val="center"/>
          </w:tcPr>
          <w:p w14:paraId="039B7C5C">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《化妆品监督管理条例》第六十二条第一款第二项  </w:t>
            </w:r>
            <w:r>
              <w:rPr>
                <w:rFonts w:hint="eastAsia" w:ascii="Times New Roman" w:hAnsi="Times New Roman" w:eastAsia="方正仿宋_GBK"/>
                <w:kern w:val="0"/>
                <w:sz w:val="21"/>
                <w:szCs w:val="24"/>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r>
      <w:tr w14:paraId="1E2C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nil"/>
              <w:left w:val="single" w:color="auto" w:sz="4" w:space="0"/>
              <w:bottom w:val="single" w:color="auto" w:sz="4" w:space="0"/>
              <w:right w:val="single" w:color="auto" w:sz="4" w:space="0"/>
              <w:tl2br w:val="nil"/>
              <w:tr2bl w:val="nil"/>
            </w:tcBorders>
            <w:noWrap w:val="0"/>
            <w:vAlign w:val="center"/>
          </w:tcPr>
          <w:p w14:paraId="4716FB95">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0EC53F15">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93</w:t>
            </w:r>
          </w:p>
        </w:tc>
        <w:tc>
          <w:tcPr>
            <w:tcW w:w="1712" w:type="dxa"/>
            <w:tcBorders>
              <w:top w:val="nil"/>
              <w:left w:val="nil"/>
              <w:bottom w:val="single" w:color="auto" w:sz="4" w:space="0"/>
              <w:right w:val="single" w:color="auto" w:sz="4" w:space="0"/>
              <w:tl2br w:val="nil"/>
              <w:tr2bl w:val="nil"/>
            </w:tcBorders>
            <w:noWrap w:val="0"/>
            <w:vAlign w:val="center"/>
          </w:tcPr>
          <w:p w14:paraId="4B7B02F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医疗器械拆零销售未附说明书</w:t>
            </w:r>
          </w:p>
        </w:tc>
        <w:tc>
          <w:tcPr>
            <w:tcW w:w="2421" w:type="dxa"/>
            <w:tcBorders>
              <w:top w:val="nil"/>
              <w:left w:val="nil"/>
              <w:bottom w:val="single" w:color="auto" w:sz="4" w:space="0"/>
              <w:right w:val="single" w:color="auto" w:sz="4" w:space="0"/>
              <w:tl2br w:val="nil"/>
              <w:tr2bl w:val="nil"/>
            </w:tcBorders>
            <w:noWrap w:val="0"/>
            <w:vAlign w:val="center"/>
          </w:tcPr>
          <w:p w14:paraId="53FBD60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0434929">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经营者能够提供说明书；</w:t>
            </w:r>
          </w:p>
          <w:p w14:paraId="4D4B6E9B">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拆零销售的医疗器械售价较低，属于日常生活中常用医疗器械；</w:t>
            </w:r>
          </w:p>
          <w:p w14:paraId="4DAEA703">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不影响消费者正常使用；</w:t>
            </w:r>
          </w:p>
          <w:p w14:paraId="2737833F">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已履行进货查验义务；</w:t>
            </w:r>
          </w:p>
          <w:p w14:paraId="44B8640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5942805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《医疗器械监督管理条例》第三十九条第一款  </w:t>
            </w:r>
            <w:r>
              <w:rPr>
                <w:rFonts w:hint="eastAsia" w:ascii="Times New Roman" w:hAnsi="Times New Roman" w:eastAsia="方正仿宋_GBK"/>
                <w:kern w:val="0"/>
                <w:sz w:val="21"/>
                <w:szCs w:val="24"/>
              </w:rPr>
              <w:t>医疗器械应当有说明书、标签。说明书、标签的内容应当与经注册或者备案的相关内容一致，确保真实、准确。</w:t>
            </w:r>
          </w:p>
          <w:p w14:paraId="530FF540">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《医疗器械说明书和标签管理规定》第七条第一款  </w:t>
            </w:r>
            <w:r>
              <w:rPr>
                <w:rFonts w:hint="eastAsia" w:ascii="Times New Roman" w:hAnsi="Times New Roman" w:eastAsia="方正仿宋_GBK"/>
                <w:kern w:val="0"/>
                <w:sz w:val="21"/>
                <w:szCs w:val="24"/>
              </w:rPr>
              <w:t>医疗器械最小销售单元应当附有说明书。</w:t>
            </w:r>
          </w:p>
        </w:tc>
        <w:tc>
          <w:tcPr>
            <w:tcW w:w="4766" w:type="dxa"/>
            <w:tcBorders>
              <w:top w:val="nil"/>
              <w:left w:val="nil"/>
              <w:bottom w:val="single" w:color="auto" w:sz="4" w:space="0"/>
              <w:right w:val="single" w:color="auto" w:sz="4" w:space="0"/>
              <w:tl2br w:val="nil"/>
              <w:tr2bl w:val="nil"/>
            </w:tcBorders>
            <w:noWrap w:val="0"/>
            <w:vAlign w:val="center"/>
          </w:tcPr>
          <w:p w14:paraId="6242B54F">
            <w:pPr>
              <w:pStyle w:val="2"/>
              <w:widowControl/>
              <w:adjustRightInd w:val="0"/>
              <w:snapToGrid w:val="0"/>
              <w:spacing w:beforeLines="0" w:afterLines="0" w:line="300" w:lineRule="exact"/>
              <w:ind w:firstLine="0" w:firstLineChars="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《医疗器械监督管理条例》第八十八条第二项  </w:t>
            </w:r>
            <w:r>
              <w:rPr>
                <w:rFonts w:hint="eastAsia" w:ascii="Times New Roman" w:hAnsi="Times New Roman" w:eastAsia="方正仿宋_GBK"/>
                <w:kern w:val="0"/>
                <w:sz w:val="21"/>
                <w:szCs w:val="24"/>
              </w:rPr>
              <w:t>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w:t>
            </w:r>
          </w:p>
          <w:p w14:paraId="1329B436">
            <w:pPr>
              <w:widowControl/>
              <w:spacing w:beforeLines="0" w:afterLines="0" w:line="300" w:lineRule="exact"/>
              <w:ind w:left="211" w:hanging="187" w:hangingChars="100"/>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《医疗器械说明书和标签管理规定》第十八条  </w:t>
            </w:r>
          </w:p>
          <w:p w14:paraId="31380F7F">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说明书和标签不符合本规定要求的，由县级以上食品药品监督管理部门按照《医疗器械监督管理条例》第六十七条（现第八十八条）的规定予以处罚。</w:t>
            </w:r>
          </w:p>
        </w:tc>
      </w:tr>
      <w:tr w14:paraId="4407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0367E">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22629F2D">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94</w:t>
            </w:r>
          </w:p>
        </w:tc>
        <w:tc>
          <w:tcPr>
            <w:tcW w:w="1712" w:type="dxa"/>
            <w:tcBorders>
              <w:top w:val="nil"/>
              <w:left w:val="nil"/>
              <w:bottom w:val="single" w:color="auto" w:sz="4" w:space="0"/>
              <w:right w:val="single" w:color="auto" w:sz="4" w:space="0"/>
              <w:tl2br w:val="nil"/>
              <w:tr2bl w:val="nil"/>
            </w:tcBorders>
            <w:noWrap w:val="0"/>
            <w:vAlign w:val="center"/>
          </w:tcPr>
          <w:p w14:paraId="69CF52E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经营、使用未取得医疗器械注册证的第二类、第三类医疗器械</w:t>
            </w:r>
          </w:p>
        </w:tc>
        <w:tc>
          <w:tcPr>
            <w:tcW w:w="2421" w:type="dxa"/>
            <w:tcBorders>
              <w:top w:val="nil"/>
              <w:left w:val="nil"/>
              <w:bottom w:val="single" w:color="auto" w:sz="4" w:space="0"/>
              <w:right w:val="single" w:color="auto" w:sz="4" w:space="0"/>
              <w:tl2br w:val="nil"/>
              <w:tr2bl w:val="nil"/>
            </w:tcBorders>
            <w:noWrap w:val="0"/>
            <w:vAlign w:val="center"/>
          </w:tcPr>
          <w:p w14:paraId="0CCD7A4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同时具备以下条件的，收缴其经营、使用的不符合法定要求的医疗器械，不予罚款：</w:t>
            </w:r>
          </w:p>
          <w:p w14:paraId="06B2326B">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初次违法；</w:t>
            </w:r>
          </w:p>
          <w:p w14:paraId="1E984AB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已履行进货查验等义务；</w:t>
            </w:r>
          </w:p>
          <w:p w14:paraId="6F09F8E5">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有充分证据证明不知道所经营、使用的医疗器械不符合法定要求；</w:t>
            </w:r>
            <w:r>
              <w:rPr>
                <w:rFonts w:hint="default" w:ascii="Times New Roman" w:hAnsi="Times New Roman" w:eastAsia="方正仿宋_GBK"/>
                <w:kern w:val="0"/>
                <w:sz w:val="21"/>
                <w:szCs w:val="24"/>
              </w:rPr>
              <w:t xml:space="preserve">            </w:t>
            </w:r>
          </w:p>
          <w:p w14:paraId="0FAB2AA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方正仿宋_GBK" w:eastAsia="方正仿宋_GBK"/>
                <w:kern w:val="0"/>
                <w:sz w:val="21"/>
                <w:szCs w:val="24"/>
              </w:rPr>
              <w:t>能如实说明其进货来源。</w:t>
            </w:r>
          </w:p>
        </w:tc>
        <w:tc>
          <w:tcPr>
            <w:tcW w:w="4771" w:type="dxa"/>
            <w:tcBorders>
              <w:top w:val="nil"/>
              <w:left w:val="nil"/>
              <w:bottom w:val="single" w:color="auto" w:sz="4" w:space="0"/>
              <w:right w:val="single" w:color="auto" w:sz="4" w:space="0"/>
              <w:tl2br w:val="nil"/>
              <w:tr2bl w:val="nil"/>
            </w:tcBorders>
            <w:noWrap w:val="0"/>
            <w:vAlign w:val="center"/>
          </w:tcPr>
          <w:p w14:paraId="1D2A159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《医疗器械监督管理条例》第十三条第一款</w:t>
            </w:r>
            <w:r>
              <w:rPr>
                <w:rFonts w:hint="default" w:ascii="Times New Roman" w:hAnsi="Times New Roman" w:eastAsia="方正仿宋_GBK"/>
                <w:kern w:val="0"/>
                <w:sz w:val="21"/>
                <w:szCs w:val="24"/>
              </w:rPr>
              <w:t xml:space="preserve"> </w:t>
            </w:r>
            <w:r>
              <w:rPr>
                <w:rFonts w:hint="eastAsia" w:ascii="Times New Roman" w:hAnsi="方正仿宋_GBK" w:eastAsia="方正仿宋_GBK"/>
                <w:kern w:val="0"/>
                <w:sz w:val="21"/>
                <w:szCs w:val="24"/>
              </w:rPr>
              <w:t>　第一类医疗器械实行产品备案管理，第二类、第三类医疗器械实行产品注册管理。</w:t>
            </w:r>
          </w:p>
          <w:p w14:paraId="04463C5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第五十五条</w:t>
            </w:r>
            <w:r>
              <w:rPr>
                <w:rFonts w:hint="eastAsia" w:ascii="Times New Roman" w:hAnsi="方正仿宋_GBK" w:eastAsia="方正仿宋_GBK"/>
                <w:kern w:val="0"/>
                <w:sz w:val="21"/>
                <w:szCs w:val="24"/>
              </w:rPr>
              <w:t>　医疗器械经营企业、使用单位不得经营、使用未依法注册或者备案、无合格证明文件以及过期、失效、淘汰的医疗器械。</w:t>
            </w:r>
          </w:p>
        </w:tc>
        <w:tc>
          <w:tcPr>
            <w:tcW w:w="4766" w:type="dxa"/>
            <w:tcBorders>
              <w:top w:val="nil"/>
              <w:left w:val="nil"/>
              <w:bottom w:val="single" w:color="auto" w:sz="4" w:space="0"/>
              <w:right w:val="single" w:color="auto" w:sz="4" w:space="0"/>
              <w:tl2br w:val="nil"/>
              <w:tr2bl w:val="nil"/>
            </w:tcBorders>
            <w:noWrap w:val="0"/>
            <w:vAlign w:val="center"/>
          </w:tcPr>
          <w:p w14:paraId="72D671E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《医疗器械监督管理条例》第八十一条第一款第一项</w:t>
            </w:r>
            <w:r>
              <w:rPr>
                <w:rFonts w:hint="eastAsia" w:ascii="Times New Roman" w:hAnsi="方正仿宋_GBK" w:eastAsia="方正仿宋_GBK"/>
                <w:kern w:val="0"/>
                <w:sz w:val="21"/>
                <w:szCs w:val="24"/>
              </w:rPr>
              <w:t>　有下列情形之一的，由负责药品监督管理的部门没收违法所得、违法生产经营的医疗器械和用于违法生产经营的工具、设备、原材料等物品；违法生产经营的医疗器械货值金额不足</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万元的，并处</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万元以上</w:t>
            </w:r>
            <w:r>
              <w:rPr>
                <w:rFonts w:hint="default" w:ascii="Times New Roman" w:hAnsi="Times New Roman" w:eastAsia="方正仿宋_GBK"/>
                <w:kern w:val="0"/>
                <w:sz w:val="21"/>
                <w:szCs w:val="24"/>
              </w:rPr>
              <w:t>15</w:t>
            </w:r>
            <w:r>
              <w:rPr>
                <w:rFonts w:hint="eastAsia" w:ascii="Times New Roman" w:hAnsi="方正仿宋_GBK" w:eastAsia="方正仿宋_GBK"/>
                <w:kern w:val="0"/>
                <w:sz w:val="21"/>
                <w:szCs w:val="24"/>
              </w:rPr>
              <w:t>万元以下罚款；货值金额</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万元以上的，并处货值金额</w:t>
            </w:r>
            <w:r>
              <w:rPr>
                <w:rFonts w:hint="default" w:ascii="Times New Roman" w:hAnsi="Times New Roman" w:eastAsia="方正仿宋_GBK"/>
                <w:kern w:val="0"/>
                <w:sz w:val="21"/>
                <w:szCs w:val="24"/>
              </w:rPr>
              <w:t>15</w:t>
            </w:r>
            <w:r>
              <w:rPr>
                <w:rFonts w:hint="eastAsia" w:ascii="Times New Roman" w:hAnsi="方正仿宋_GBK" w:eastAsia="方正仿宋_GBK"/>
                <w:kern w:val="0"/>
                <w:sz w:val="21"/>
                <w:szCs w:val="24"/>
              </w:rPr>
              <w:t>倍以上</w:t>
            </w:r>
            <w:r>
              <w:rPr>
                <w:rFonts w:hint="default" w:ascii="Times New Roman" w:hAnsi="Times New Roman" w:eastAsia="方正仿宋_GBK"/>
                <w:kern w:val="0"/>
                <w:sz w:val="21"/>
                <w:szCs w:val="24"/>
              </w:rPr>
              <w:t>30</w:t>
            </w:r>
            <w:r>
              <w:rPr>
                <w:rFonts w:hint="eastAsia" w:ascii="Times New Roman" w:hAnsi="方正仿宋_GBK" w:eastAsia="方正仿宋_GBK"/>
                <w:kern w:val="0"/>
                <w:sz w:val="21"/>
                <w:szCs w:val="24"/>
              </w:rPr>
              <w:t>倍以下罚款；情节严重的，责令停产停业，</w:t>
            </w:r>
            <w:r>
              <w:rPr>
                <w:rFonts w:hint="default" w:ascii="Times New Roman" w:hAnsi="Times New Roman" w:eastAsia="方正仿宋_GBK"/>
                <w:kern w:val="0"/>
                <w:sz w:val="21"/>
                <w:szCs w:val="24"/>
              </w:rPr>
              <w:t>10</w:t>
            </w:r>
            <w:r>
              <w:rPr>
                <w:rFonts w:hint="eastAsia" w:ascii="Times New Roman" w:hAnsi="方正仿宋_GBK" w:eastAsia="方正仿宋_GBK"/>
                <w:kern w:val="0"/>
                <w:sz w:val="21"/>
                <w:szCs w:val="24"/>
              </w:rPr>
              <w:t>年内不受理相关责任人以及单位提出的医疗器械许可申请，对违法单位的法定代表人、主要负责人、直接负责的主管人员和其他责任人员，没收违法行为发生期间自本单位所获收入，并处所获收入</w:t>
            </w:r>
            <w:r>
              <w:rPr>
                <w:rFonts w:hint="default" w:ascii="Times New Roman" w:hAnsi="Times New Roman" w:eastAsia="方正仿宋_GBK"/>
                <w:kern w:val="0"/>
                <w:sz w:val="21"/>
                <w:szCs w:val="24"/>
              </w:rPr>
              <w:t>30%</w:t>
            </w:r>
            <w:r>
              <w:rPr>
                <w:rFonts w:hint="eastAsia" w:ascii="Times New Roman" w:hAnsi="方正仿宋_GBK" w:eastAsia="方正仿宋_GBK"/>
                <w:kern w:val="0"/>
                <w:sz w:val="21"/>
                <w:szCs w:val="24"/>
              </w:rPr>
              <w:t>以上</w:t>
            </w: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倍以下罚款，终身禁止其从事医疗器械生产经营活动：（一）生产、经营未取得医疗器械注册证的第二类、第三类医疗器械；</w:t>
            </w:r>
          </w:p>
          <w:p w14:paraId="5875F0D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第八十七条</w:t>
            </w:r>
            <w:r>
              <w:rPr>
                <w:rFonts w:hint="eastAsia" w:ascii="Times New Roman" w:hAnsi="方正仿宋_GBK" w:eastAsia="方正仿宋_GBK"/>
                <w:kern w:val="0"/>
                <w:sz w:val="21"/>
                <w:szCs w:val="24"/>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r>
      <w:tr w14:paraId="7C3A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837B7">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05AB448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95</w:t>
            </w:r>
          </w:p>
        </w:tc>
        <w:tc>
          <w:tcPr>
            <w:tcW w:w="1712" w:type="dxa"/>
            <w:tcBorders>
              <w:top w:val="nil"/>
              <w:left w:val="nil"/>
              <w:bottom w:val="single" w:color="auto" w:sz="4" w:space="0"/>
              <w:right w:val="single" w:color="auto" w:sz="4" w:space="0"/>
              <w:tl2br w:val="nil"/>
              <w:tr2bl w:val="nil"/>
            </w:tcBorders>
            <w:noWrap w:val="0"/>
            <w:vAlign w:val="center"/>
          </w:tcPr>
          <w:p w14:paraId="371CD2E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经营、使用未经备案的第一类医疗器械</w:t>
            </w:r>
          </w:p>
        </w:tc>
        <w:tc>
          <w:tcPr>
            <w:tcW w:w="2421" w:type="dxa"/>
            <w:tcBorders>
              <w:top w:val="nil"/>
              <w:left w:val="nil"/>
              <w:bottom w:val="single" w:color="auto" w:sz="4" w:space="0"/>
              <w:right w:val="single" w:color="auto" w:sz="4" w:space="0"/>
              <w:tl2br w:val="nil"/>
              <w:tr2bl w:val="nil"/>
            </w:tcBorders>
            <w:noWrap w:val="0"/>
            <w:vAlign w:val="center"/>
          </w:tcPr>
          <w:p w14:paraId="7DF02E2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同时具备以下条件的，收缴其经营、使用的不符合法定要求的医疗器械，不予罚款：</w:t>
            </w:r>
          </w:p>
          <w:p w14:paraId="091ABE1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初次违法；</w:t>
            </w:r>
          </w:p>
          <w:p w14:paraId="237A38C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已履行进货查验等义务；</w:t>
            </w:r>
          </w:p>
          <w:p w14:paraId="1014707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有充分证据证明不知道所经营、使用的医疗器械不符合法定要求；</w:t>
            </w:r>
            <w:r>
              <w:rPr>
                <w:rFonts w:hint="default" w:ascii="Times New Roman" w:hAnsi="Times New Roman" w:eastAsia="方正仿宋_GBK"/>
                <w:kern w:val="0"/>
                <w:sz w:val="21"/>
                <w:szCs w:val="24"/>
              </w:rPr>
              <w:t xml:space="preserve">            </w:t>
            </w:r>
          </w:p>
          <w:p w14:paraId="1665E02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方正仿宋_GBK" w:eastAsia="方正仿宋_GBK"/>
                <w:kern w:val="0"/>
                <w:sz w:val="21"/>
                <w:szCs w:val="24"/>
              </w:rPr>
              <w:t>能如实说明其进货来源。</w:t>
            </w:r>
          </w:p>
        </w:tc>
        <w:tc>
          <w:tcPr>
            <w:tcW w:w="4771" w:type="dxa"/>
            <w:tcBorders>
              <w:top w:val="nil"/>
              <w:left w:val="nil"/>
              <w:bottom w:val="single" w:color="auto" w:sz="4" w:space="0"/>
              <w:right w:val="single" w:color="auto" w:sz="4" w:space="0"/>
              <w:tl2br w:val="nil"/>
              <w:tr2bl w:val="nil"/>
            </w:tcBorders>
            <w:noWrap w:val="0"/>
            <w:vAlign w:val="center"/>
          </w:tcPr>
          <w:p w14:paraId="367BBA9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《医疗器械监督管理条例》第十三条第一款</w:t>
            </w:r>
            <w:r>
              <w:rPr>
                <w:rFonts w:hint="default" w:ascii="Times New Roman" w:hAnsi="Times New Roman" w:eastAsia="方正仿宋_GBK"/>
                <w:kern w:val="0"/>
                <w:sz w:val="21"/>
                <w:szCs w:val="24"/>
              </w:rPr>
              <w:t xml:space="preserve"> </w:t>
            </w:r>
            <w:r>
              <w:rPr>
                <w:rFonts w:hint="eastAsia" w:ascii="Times New Roman" w:hAnsi="方正仿宋_GBK" w:eastAsia="方正仿宋_GBK"/>
                <w:kern w:val="0"/>
                <w:sz w:val="21"/>
                <w:szCs w:val="24"/>
              </w:rPr>
              <w:t>　第一类医疗器械实行产品备案管理，第二类、第三类医疗器械实行产品注册管理。</w:t>
            </w:r>
            <w:r>
              <w:rPr>
                <w:rFonts w:hint="default" w:ascii="Times New Roman" w:hAnsi="Times New Roman" w:eastAsia="方正仿宋_GBK"/>
                <w:kern w:val="0"/>
                <w:sz w:val="21"/>
                <w:szCs w:val="24"/>
              </w:rPr>
              <w:t xml:space="preserve"> </w:t>
            </w:r>
          </w:p>
          <w:p w14:paraId="2B86E20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第五十五条</w:t>
            </w:r>
            <w:r>
              <w:rPr>
                <w:rFonts w:hint="eastAsia" w:ascii="Times New Roman" w:hAnsi="方正仿宋_GBK" w:eastAsia="方正仿宋_GBK"/>
                <w:kern w:val="0"/>
                <w:sz w:val="21"/>
                <w:szCs w:val="24"/>
              </w:rPr>
              <w:t>　医疗器械经营企业、使用单位不得经营、使用未依法注册或者备案、无合格证明文件以及过期、失效、淘汰的医疗器械。</w:t>
            </w:r>
          </w:p>
        </w:tc>
        <w:tc>
          <w:tcPr>
            <w:tcW w:w="4766" w:type="dxa"/>
            <w:tcBorders>
              <w:top w:val="nil"/>
              <w:left w:val="nil"/>
              <w:bottom w:val="single" w:color="auto" w:sz="4" w:space="0"/>
              <w:right w:val="single" w:color="auto" w:sz="4" w:space="0"/>
              <w:tl2br w:val="nil"/>
              <w:tr2bl w:val="nil"/>
            </w:tcBorders>
            <w:noWrap w:val="0"/>
            <w:vAlign w:val="center"/>
          </w:tcPr>
          <w:p w14:paraId="3FA0305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《医疗器械监督管理条例》第八十四条第一项</w:t>
            </w:r>
            <w:r>
              <w:rPr>
                <w:rFonts w:hint="eastAsia" w:ascii="Times New Roman" w:hAnsi="方正仿宋_GBK" w:eastAsia="方正仿宋_GBK"/>
                <w:kern w:val="0"/>
                <w:sz w:val="21"/>
                <w:szCs w:val="24"/>
              </w:rPr>
              <w:t>　有下列情形之一的，由负责药品监督管理的部门向社会公告单位和产品名称，责令限期改正；逾期不改正的，没收违法所得、违法生产经营的医疗器械；违法生产经营的医疗器械货值金额不足</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万元的，并处</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万元以上</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万元以下罚款；货值金额</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万元以上的，并处货值金额</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倍以上</w:t>
            </w:r>
            <w:r>
              <w:rPr>
                <w:rFonts w:hint="default" w:ascii="Times New Roman" w:hAnsi="Times New Roman" w:eastAsia="方正仿宋_GBK"/>
                <w:kern w:val="0"/>
                <w:sz w:val="21"/>
                <w:szCs w:val="24"/>
              </w:rPr>
              <w:t>20</w:t>
            </w:r>
            <w:r>
              <w:rPr>
                <w:rFonts w:hint="eastAsia" w:ascii="Times New Roman" w:hAnsi="方正仿宋_GBK" w:eastAsia="方正仿宋_GBK"/>
                <w:kern w:val="0"/>
                <w:sz w:val="21"/>
                <w:szCs w:val="24"/>
              </w:rPr>
              <w:t>倍以下罚款；情节严重的，对违法单位的法定代表人、主要负责人、直接负责的主管人员和其他责任人员，没收违法行为发生期间自本单位所获收入，并处所获收入</w:t>
            </w:r>
            <w:r>
              <w:rPr>
                <w:rFonts w:hint="default" w:ascii="Times New Roman" w:hAnsi="Times New Roman" w:eastAsia="方正仿宋_GBK"/>
                <w:kern w:val="0"/>
                <w:sz w:val="21"/>
                <w:szCs w:val="24"/>
              </w:rPr>
              <w:t>30%</w:t>
            </w:r>
            <w:r>
              <w:rPr>
                <w:rFonts w:hint="eastAsia" w:ascii="Times New Roman" w:hAnsi="方正仿宋_GBK" w:eastAsia="方正仿宋_GBK"/>
                <w:kern w:val="0"/>
                <w:sz w:val="21"/>
                <w:szCs w:val="24"/>
              </w:rPr>
              <w:t>以上</w:t>
            </w: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倍以下罚款，</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年内禁止其从事医疗器械生产经营活动：（一）生产、经营未经备案的第一类医疗器械；</w:t>
            </w:r>
          </w:p>
          <w:p w14:paraId="0B22032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第八十七条</w:t>
            </w:r>
            <w:r>
              <w:rPr>
                <w:rFonts w:hint="eastAsia" w:ascii="Times New Roman" w:hAnsi="方正仿宋_GBK" w:eastAsia="方正仿宋_GBK"/>
                <w:kern w:val="0"/>
                <w:sz w:val="21"/>
                <w:szCs w:val="24"/>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r>
      <w:tr w14:paraId="3B00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C2407">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7B84F7AC">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96</w:t>
            </w:r>
          </w:p>
        </w:tc>
        <w:tc>
          <w:tcPr>
            <w:tcW w:w="1712" w:type="dxa"/>
            <w:tcBorders>
              <w:top w:val="nil"/>
              <w:left w:val="nil"/>
              <w:bottom w:val="single" w:color="auto" w:sz="4" w:space="0"/>
              <w:right w:val="single" w:color="auto" w:sz="4" w:space="0"/>
              <w:tl2br w:val="nil"/>
              <w:tr2bl w:val="nil"/>
            </w:tcBorders>
            <w:noWrap w:val="0"/>
            <w:vAlign w:val="center"/>
          </w:tcPr>
          <w:p w14:paraId="6D77380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经营、使用不符合强制性标准或者不符合经注册或者备案的产品技术要求的医疗器械</w:t>
            </w:r>
          </w:p>
        </w:tc>
        <w:tc>
          <w:tcPr>
            <w:tcW w:w="2421" w:type="dxa"/>
            <w:tcBorders>
              <w:top w:val="nil"/>
              <w:left w:val="nil"/>
              <w:bottom w:val="single" w:color="auto" w:sz="4" w:space="0"/>
              <w:right w:val="single" w:color="auto" w:sz="4" w:space="0"/>
              <w:tl2br w:val="nil"/>
              <w:tr2bl w:val="nil"/>
            </w:tcBorders>
            <w:noWrap w:val="0"/>
            <w:vAlign w:val="center"/>
          </w:tcPr>
          <w:p w14:paraId="0A4383C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同时具备以下条件的，收缴其经营、使用的不符合法定要求的医疗器械，不予罚款：</w:t>
            </w:r>
          </w:p>
          <w:p w14:paraId="4F1F50C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初次违法；</w:t>
            </w:r>
          </w:p>
          <w:p w14:paraId="5BFF35F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已履行进货查验等义务；</w:t>
            </w:r>
          </w:p>
          <w:p w14:paraId="00621666">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有充分证据证明不知道所经营、使用的医疗器械不符合法定要求；</w:t>
            </w:r>
            <w:r>
              <w:rPr>
                <w:rFonts w:hint="default" w:ascii="Times New Roman" w:hAnsi="Times New Roman" w:eastAsia="方正仿宋_GBK"/>
                <w:kern w:val="0"/>
                <w:sz w:val="21"/>
                <w:szCs w:val="24"/>
              </w:rPr>
              <w:t xml:space="preserve">            </w:t>
            </w:r>
          </w:p>
          <w:p w14:paraId="4CF9761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方正仿宋_GBK" w:eastAsia="方正仿宋_GBK"/>
                <w:kern w:val="0"/>
                <w:sz w:val="21"/>
                <w:szCs w:val="24"/>
              </w:rPr>
              <w:t>能如实说明其进货来源。</w:t>
            </w:r>
          </w:p>
        </w:tc>
        <w:tc>
          <w:tcPr>
            <w:tcW w:w="4771" w:type="dxa"/>
            <w:tcBorders>
              <w:top w:val="nil"/>
              <w:left w:val="nil"/>
              <w:bottom w:val="single" w:color="auto" w:sz="4" w:space="0"/>
              <w:right w:val="single" w:color="auto" w:sz="4" w:space="0"/>
              <w:tl2br w:val="nil"/>
              <w:tr2bl w:val="nil"/>
            </w:tcBorders>
            <w:noWrap w:val="0"/>
            <w:vAlign w:val="center"/>
          </w:tcPr>
          <w:p w14:paraId="6403EFD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《医疗器械监督管理条例》第七条</w:t>
            </w:r>
            <w:r>
              <w:rPr>
                <w:rFonts w:hint="eastAsia" w:ascii="Times New Roman" w:hAnsi="方正仿宋_GBK" w:eastAsia="方正仿宋_GBK"/>
                <w:kern w:val="0"/>
                <w:sz w:val="21"/>
                <w:szCs w:val="24"/>
              </w:rPr>
              <w:t>　医疗器械产品应当符合医疗器械强制性国家标准；尚无强制性国家标准的，应当符合医疗器械强制性行业标准。</w:t>
            </w:r>
          </w:p>
          <w:p w14:paraId="04E60CA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第三十五条</w:t>
            </w:r>
            <w:r>
              <w:rPr>
                <w:rFonts w:hint="eastAsia" w:ascii="Times New Roman" w:hAnsi="方正仿宋_GBK" w:eastAsia="方正仿宋_GBK"/>
                <w:kern w:val="0"/>
                <w:sz w:val="21"/>
                <w:szCs w:val="24"/>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733C8EF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p>
        </w:tc>
        <w:tc>
          <w:tcPr>
            <w:tcW w:w="4766" w:type="dxa"/>
            <w:tcBorders>
              <w:top w:val="nil"/>
              <w:left w:val="nil"/>
              <w:bottom w:val="single" w:color="auto" w:sz="4" w:space="0"/>
              <w:right w:val="single" w:color="auto" w:sz="4" w:space="0"/>
              <w:tl2br w:val="nil"/>
              <w:tr2bl w:val="nil"/>
            </w:tcBorders>
            <w:noWrap w:val="0"/>
            <w:vAlign w:val="center"/>
          </w:tcPr>
          <w:p w14:paraId="6593247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《医疗器械监督管理条例》第八十六条第一项</w:t>
            </w:r>
            <w:r>
              <w:rPr>
                <w:rFonts w:hint="eastAsia" w:ascii="Times New Roman" w:hAnsi="方正仿宋_GBK" w:eastAsia="方正仿宋_GBK"/>
                <w:kern w:val="0"/>
                <w:sz w:val="21"/>
                <w:szCs w:val="24"/>
              </w:rPr>
              <w:t>　有下列情形之一的，由负责药品监督管理的部门责令改正，没收违法生产经营使用的医疗器械；违法生产经营使用的医疗器械货值金额不足</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万元的，并处</w:t>
            </w: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万元以上</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万元以下罚款；货值金额</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万元以上的，并处货值金额</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倍以上</w:t>
            </w:r>
            <w:r>
              <w:rPr>
                <w:rFonts w:hint="default" w:ascii="Times New Roman" w:hAnsi="Times New Roman" w:eastAsia="方正仿宋_GBK"/>
                <w:kern w:val="0"/>
                <w:sz w:val="21"/>
                <w:szCs w:val="24"/>
              </w:rPr>
              <w:t>20</w:t>
            </w:r>
            <w:r>
              <w:rPr>
                <w:rFonts w:hint="eastAsia" w:ascii="Times New Roman" w:hAnsi="方正仿宋_GBK" w:eastAsia="方正仿宋_GBK"/>
                <w:kern w:val="0"/>
                <w:sz w:val="21"/>
                <w:szCs w:val="24"/>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方正仿宋_GBK"/>
                <w:kern w:val="0"/>
                <w:sz w:val="21"/>
                <w:szCs w:val="24"/>
              </w:rPr>
              <w:t>30%</w:t>
            </w:r>
            <w:r>
              <w:rPr>
                <w:rFonts w:hint="eastAsia" w:ascii="Times New Roman" w:hAnsi="方正仿宋_GBK" w:eastAsia="方正仿宋_GBK"/>
                <w:kern w:val="0"/>
                <w:sz w:val="21"/>
                <w:szCs w:val="24"/>
              </w:rPr>
              <w:t>以上</w:t>
            </w: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倍以下罚款，</w:t>
            </w:r>
            <w:r>
              <w:rPr>
                <w:rFonts w:hint="default" w:ascii="Times New Roman" w:hAnsi="Times New Roman" w:eastAsia="方正仿宋_GBK"/>
                <w:kern w:val="0"/>
                <w:sz w:val="21"/>
                <w:szCs w:val="24"/>
              </w:rPr>
              <w:t>10</w:t>
            </w:r>
            <w:r>
              <w:rPr>
                <w:rFonts w:hint="eastAsia" w:ascii="Times New Roman" w:hAnsi="方正仿宋_GBK" w:eastAsia="方正仿宋_GBK"/>
                <w:kern w:val="0"/>
                <w:sz w:val="21"/>
                <w:szCs w:val="24"/>
              </w:rPr>
              <w:t>年内禁止其从事医疗器械生产经营活动：（一）生产、经营、使用不符合强制性标准或者不符合经注册或者备案的产品技术要求的医疗器械；</w:t>
            </w:r>
          </w:p>
          <w:p w14:paraId="2C2724F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第八十七条</w:t>
            </w:r>
            <w:r>
              <w:rPr>
                <w:rFonts w:hint="eastAsia" w:ascii="Times New Roman" w:hAnsi="方正仿宋_GBK" w:eastAsia="方正仿宋_GBK"/>
                <w:kern w:val="0"/>
                <w:sz w:val="21"/>
                <w:szCs w:val="24"/>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r>
      <w:tr w14:paraId="0090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1F072">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4A0CB5B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97</w:t>
            </w:r>
          </w:p>
        </w:tc>
        <w:tc>
          <w:tcPr>
            <w:tcW w:w="1712" w:type="dxa"/>
            <w:tcBorders>
              <w:top w:val="nil"/>
              <w:left w:val="nil"/>
              <w:bottom w:val="single" w:color="auto" w:sz="4" w:space="0"/>
              <w:right w:val="single" w:color="auto" w:sz="4" w:space="0"/>
              <w:tl2br w:val="nil"/>
              <w:tr2bl w:val="nil"/>
            </w:tcBorders>
            <w:noWrap w:val="0"/>
            <w:vAlign w:val="center"/>
          </w:tcPr>
          <w:p w14:paraId="158BD4D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经营、使用无合格证明文件、过期、失效、淘汰的医疗器械，或者使用未依法注册的医疗器械</w:t>
            </w:r>
          </w:p>
        </w:tc>
        <w:tc>
          <w:tcPr>
            <w:tcW w:w="2421" w:type="dxa"/>
            <w:tcBorders>
              <w:top w:val="nil"/>
              <w:left w:val="nil"/>
              <w:bottom w:val="single" w:color="auto" w:sz="4" w:space="0"/>
              <w:right w:val="single" w:color="auto" w:sz="4" w:space="0"/>
              <w:tl2br w:val="nil"/>
              <w:tr2bl w:val="nil"/>
            </w:tcBorders>
            <w:noWrap w:val="0"/>
            <w:vAlign w:val="center"/>
          </w:tcPr>
          <w:p w14:paraId="3D949CB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kern w:val="0"/>
                <w:sz w:val="21"/>
                <w:szCs w:val="24"/>
              </w:rPr>
              <w:t>同时具备以下条件的，收缴其经营、使用的不符合法定要求的医疗器械，不予罚款：</w:t>
            </w:r>
          </w:p>
          <w:p w14:paraId="40435EF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初次违法；</w:t>
            </w:r>
          </w:p>
          <w:p w14:paraId="3D7A8941">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已履行进货查验等义务；</w:t>
            </w:r>
          </w:p>
          <w:p w14:paraId="1751CFA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有充分证据证明不知道所经营、使用的医疗器械不符合法定要求；</w:t>
            </w:r>
            <w:r>
              <w:rPr>
                <w:rFonts w:hint="default" w:ascii="Times New Roman" w:hAnsi="Times New Roman" w:eastAsia="方正仿宋_GBK"/>
                <w:kern w:val="0"/>
                <w:sz w:val="21"/>
                <w:szCs w:val="24"/>
              </w:rPr>
              <w:t xml:space="preserve">            </w:t>
            </w:r>
          </w:p>
          <w:p w14:paraId="11919EC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方正仿宋_GBK" w:eastAsia="方正仿宋_GBK"/>
                <w:kern w:val="0"/>
                <w:sz w:val="21"/>
                <w:szCs w:val="24"/>
              </w:rPr>
              <w:t>能如实说明其进货来源。</w:t>
            </w:r>
          </w:p>
        </w:tc>
        <w:tc>
          <w:tcPr>
            <w:tcW w:w="4771" w:type="dxa"/>
            <w:tcBorders>
              <w:top w:val="nil"/>
              <w:left w:val="nil"/>
              <w:bottom w:val="single" w:color="auto" w:sz="4" w:space="0"/>
              <w:right w:val="single" w:color="auto" w:sz="4" w:space="0"/>
              <w:tl2br w:val="nil"/>
              <w:tr2bl w:val="nil"/>
            </w:tcBorders>
            <w:noWrap w:val="0"/>
            <w:vAlign w:val="center"/>
          </w:tcPr>
          <w:p w14:paraId="5B4B9FD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《医疗器械监督管理条例》第五十五条</w:t>
            </w:r>
            <w:r>
              <w:rPr>
                <w:rFonts w:hint="eastAsia" w:ascii="Times New Roman" w:hAnsi="方正仿宋_GBK" w:eastAsia="方正仿宋_GBK"/>
                <w:kern w:val="0"/>
                <w:sz w:val="21"/>
                <w:szCs w:val="24"/>
              </w:rPr>
              <w:t>　医疗器械经营企业、使用单位不得经营、使用未依法注册或者备案、无合格证明文件以及过期、失效、淘汰的医疗器械。</w:t>
            </w:r>
          </w:p>
        </w:tc>
        <w:tc>
          <w:tcPr>
            <w:tcW w:w="4766" w:type="dxa"/>
            <w:tcBorders>
              <w:top w:val="nil"/>
              <w:left w:val="nil"/>
              <w:bottom w:val="single" w:color="auto" w:sz="4" w:space="0"/>
              <w:right w:val="single" w:color="auto" w:sz="4" w:space="0"/>
              <w:tl2br w:val="nil"/>
              <w:tr2bl w:val="nil"/>
            </w:tcBorders>
            <w:noWrap w:val="0"/>
            <w:vAlign w:val="center"/>
          </w:tcPr>
          <w:p w14:paraId="00EAACF9">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《医疗器械监督管理条例》第八十六条第三项</w:t>
            </w:r>
            <w:r>
              <w:rPr>
                <w:rFonts w:hint="eastAsia" w:ascii="Times New Roman" w:hAnsi="方正仿宋_GBK" w:eastAsia="方正仿宋_GBK"/>
                <w:kern w:val="0"/>
                <w:sz w:val="21"/>
                <w:szCs w:val="24"/>
              </w:rPr>
              <w:t>　有下列情形之一的，由负责药品监督管理的部门责令改正，没收违法生产经营使用的医疗器械；违法生产经营使用的医疗器械货值金额不足</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万元的，并处</w:t>
            </w:r>
            <w:r>
              <w:rPr>
                <w:rFonts w:hint="default" w:ascii="Times New Roman" w:hAnsi="Times New Roman" w:eastAsia="方正仿宋_GBK"/>
                <w:kern w:val="0"/>
                <w:sz w:val="21"/>
                <w:szCs w:val="24"/>
              </w:rPr>
              <w:t>2</w:t>
            </w:r>
            <w:r>
              <w:rPr>
                <w:rFonts w:hint="eastAsia" w:ascii="Times New Roman" w:hAnsi="方正仿宋_GBK" w:eastAsia="方正仿宋_GBK"/>
                <w:kern w:val="0"/>
                <w:sz w:val="21"/>
                <w:szCs w:val="24"/>
              </w:rPr>
              <w:t>万元以上</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万元以下罚款；货值金额</w:t>
            </w:r>
            <w:r>
              <w:rPr>
                <w:rFonts w:hint="default" w:ascii="Times New Roman" w:hAnsi="Times New Roman" w:eastAsia="方正仿宋_GBK"/>
                <w:kern w:val="0"/>
                <w:sz w:val="21"/>
                <w:szCs w:val="24"/>
              </w:rPr>
              <w:t>1</w:t>
            </w:r>
            <w:r>
              <w:rPr>
                <w:rFonts w:hint="eastAsia" w:ascii="Times New Roman" w:hAnsi="方正仿宋_GBK" w:eastAsia="方正仿宋_GBK"/>
                <w:kern w:val="0"/>
                <w:sz w:val="21"/>
                <w:szCs w:val="24"/>
              </w:rPr>
              <w:t>万元以上的，并处货值金额</w:t>
            </w:r>
            <w:r>
              <w:rPr>
                <w:rFonts w:hint="default" w:ascii="Times New Roman" w:hAnsi="Times New Roman" w:eastAsia="方正仿宋_GBK"/>
                <w:kern w:val="0"/>
                <w:sz w:val="21"/>
                <w:szCs w:val="24"/>
              </w:rPr>
              <w:t>5</w:t>
            </w:r>
            <w:r>
              <w:rPr>
                <w:rFonts w:hint="eastAsia" w:ascii="Times New Roman" w:hAnsi="方正仿宋_GBK" w:eastAsia="方正仿宋_GBK"/>
                <w:kern w:val="0"/>
                <w:sz w:val="21"/>
                <w:szCs w:val="24"/>
              </w:rPr>
              <w:t>倍以上</w:t>
            </w:r>
            <w:r>
              <w:rPr>
                <w:rFonts w:hint="default" w:ascii="Times New Roman" w:hAnsi="Times New Roman" w:eastAsia="方正仿宋_GBK"/>
                <w:kern w:val="0"/>
                <w:sz w:val="21"/>
                <w:szCs w:val="24"/>
              </w:rPr>
              <w:t>20</w:t>
            </w:r>
            <w:r>
              <w:rPr>
                <w:rFonts w:hint="eastAsia" w:ascii="Times New Roman" w:hAnsi="方正仿宋_GBK" w:eastAsia="方正仿宋_GBK"/>
                <w:kern w:val="0"/>
                <w:sz w:val="21"/>
                <w:szCs w:val="24"/>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方正仿宋_GBK"/>
                <w:kern w:val="0"/>
                <w:sz w:val="21"/>
                <w:szCs w:val="24"/>
              </w:rPr>
              <w:t>30%</w:t>
            </w:r>
            <w:r>
              <w:rPr>
                <w:rFonts w:hint="eastAsia" w:ascii="Times New Roman" w:hAnsi="方正仿宋_GBK" w:eastAsia="方正仿宋_GBK"/>
                <w:kern w:val="0"/>
                <w:sz w:val="21"/>
                <w:szCs w:val="24"/>
              </w:rPr>
              <w:t>以上</w:t>
            </w:r>
            <w:r>
              <w:rPr>
                <w:rFonts w:hint="default" w:ascii="Times New Roman" w:hAnsi="Times New Roman" w:eastAsia="方正仿宋_GBK"/>
                <w:kern w:val="0"/>
                <w:sz w:val="21"/>
                <w:szCs w:val="24"/>
              </w:rPr>
              <w:t>3</w:t>
            </w:r>
            <w:r>
              <w:rPr>
                <w:rFonts w:hint="eastAsia" w:ascii="Times New Roman" w:hAnsi="方正仿宋_GBK" w:eastAsia="方正仿宋_GBK"/>
                <w:kern w:val="0"/>
                <w:sz w:val="21"/>
                <w:szCs w:val="24"/>
              </w:rPr>
              <w:t>倍以下罚款，</w:t>
            </w:r>
            <w:r>
              <w:rPr>
                <w:rFonts w:hint="default" w:ascii="Times New Roman" w:hAnsi="Times New Roman" w:eastAsia="方正仿宋_GBK"/>
                <w:kern w:val="0"/>
                <w:sz w:val="21"/>
                <w:szCs w:val="24"/>
              </w:rPr>
              <w:t>10</w:t>
            </w:r>
            <w:r>
              <w:rPr>
                <w:rFonts w:hint="eastAsia" w:ascii="Times New Roman" w:hAnsi="方正仿宋_GBK" w:eastAsia="方正仿宋_GBK"/>
                <w:kern w:val="0"/>
                <w:sz w:val="21"/>
                <w:szCs w:val="24"/>
              </w:rPr>
              <w:t>年内禁止其从事医疗器械生产经营活动：（三）经营、使用无合格证明文件、过期、失效、淘汰的医疗器械，或者使用未依法注册的医疗器械；</w:t>
            </w:r>
          </w:p>
          <w:p w14:paraId="17383D50">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方正仿宋_GBK" w:eastAsia="方正仿宋_GBK"/>
                <w:b/>
                <w:kern w:val="0"/>
                <w:sz w:val="21"/>
                <w:szCs w:val="24"/>
              </w:rPr>
              <w:t>第八十七条</w:t>
            </w:r>
            <w:r>
              <w:rPr>
                <w:rFonts w:hint="eastAsia" w:ascii="Times New Roman" w:hAnsi="方正仿宋_GBK" w:eastAsia="方正仿宋_GBK"/>
                <w:kern w:val="0"/>
                <w:sz w:val="21"/>
                <w:szCs w:val="24"/>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r>
      <w:tr w14:paraId="4CFE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restart"/>
            <w:tcBorders>
              <w:top w:val="nil"/>
              <w:left w:val="single" w:color="auto" w:sz="4" w:space="0"/>
              <w:bottom w:val="single" w:color="auto" w:sz="4" w:space="0"/>
              <w:right w:val="single" w:color="auto" w:sz="4" w:space="0"/>
              <w:tl2br w:val="nil"/>
              <w:tr2bl w:val="nil"/>
            </w:tcBorders>
            <w:noWrap w:val="0"/>
            <w:vAlign w:val="center"/>
          </w:tcPr>
          <w:p w14:paraId="188141AA">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知识产权</w:t>
            </w:r>
          </w:p>
          <w:p w14:paraId="2D962C41">
            <w:pPr>
              <w:widowControl/>
              <w:spacing w:beforeLines="0" w:afterLines="0"/>
              <w:jc w:val="center"/>
              <w:rPr>
                <w:rFonts w:hint="default" w:ascii="Times New Roman" w:hAnsi="Times New Roman" w:eastAsia="方正黑体_GBK"/>
                <w:kern w:val="0"/>
                <w:sz w:val="24"/>
                <w:szCs w:val="24"/>
              </w:rPr>
            </w:pPr>
          </w:p>
          <w:p w14:paraId="1C775EF9">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3C03C8AB">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98</w:t>
            </w:r>
          </w:p>
        </w:tc>
        <w:tc>
          <w:tcPr>
            <w:tcW w:w="1712" w:type="dxa"/>
            <w:tcBorders>
              <w:top w:val="nil"/>
              <w:left w:val="nil"/>
              <w:bottom w:val="single" w:color="auto" w:sz="4" w:space="0"/>
              <w:right w:val="single" w:color="auto" w:sz="4" w:space="0"/>
              <w:tl2br w:val="nil"/>
              <w:tr2bl w:val="nil"/>
            </w:tcBorders>
            <w:noWrap w:val="0"/>
            <w:vAlign w:val="center"/>
          </w:tcPr>
          <w:p w14:paraId="67C681A8">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法律、行政法规规定必须使用注册商标的商品未经核准注册商标在市场销售</w:t>
            </w:r>
          </w:p>
        </w:tc>
        <w:tc>
          <w:tcPr>
            <w:tcW w:w="2421" w:type="dxa"/>
            <w:tcBorders>
              <w:top w:val="nil"/>
              <w:left w:val="nil"/>
              <w:bottom w:val="single" w:color="auto" w:sz="4" w:space="0"/>
              <w:right w:val="single" w:color="auto" w:sz="4" w:space="0"/>
              <w:tl2br w:val="nil"/>
              <w:tr2bl w:val="nil"/>
            </w:tcBorders>
            <w:noWrap w:val="0"/>
            <w:vAlign w:val="center"/>
          </w:tcPr>
          <w:p w14:paraId="3154F386">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初次违法；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商品符合质量要求；</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违法行为持续时间较短或者违法经营额较小；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及时申请商标注册。</w:t>
            </w:r>
          </w:p>
        </w:tc>
        <w:tc>
          <w:tcPr>
            <w:tcW w:w="4771" w:type="dxa"/>
            <w:tcBorders>
              <w:top w:val="nil"/>
              <w:left w:val="nil"/>
              <w:bottom w:val="single" w:color="auto" w:sz="4" w:space="0"/>
              <w:right w:val="single" w:color="auto" w:sz="4" w:space="0"/>
              <w:tl2br w:val="nil"/>
              <w:tr2bl w:val="nil"/>
            </w:tcBorders>
            <w:noWrap w:val="0"/>
            <w:vAlign w:val="center"/>
          </w:tcPr>
          <w:p w14:paraId="3CBF2544">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《商标法》第六条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法律、行政法规规定必须使用注册商标的商品，必须申请商标注册，未经核准注册的，不得在市场销售。</w:t>
            </w:r>
          </w:p>
        </w:tc>
        <w:tc>
          <w:tcPr>
            <w:tcW w:w="4766" w:type="dxa"/>
            <w:tcBorders>
              <w:top w:val="nil"/>
              <w:left w:val="nil"/>
              <w:bottom w:val="single" w:color="auto" w:sz="4" w:space="0"/>
              <w:right w:val="single" w:color="auto" w:sz="4" w:space="0"/>
              <w:tl2br w:val="nil"/>
              <w:tr2bl w:val="nil"/>
            </w:tcBorders>
            <w:noWrap w:val="0"/>
            <w:vAlign w:val="center"/>
          </w:tcPr>
          <w:p w14:paraId="58ACC6F2">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《商标法》第五十一条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r>
      <w:tr w14:paraId="31E5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6533AD">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6461E2F1">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99</w:t>
            </w:r>
          </w:p>
        </w:tc>
        <w:tc>
          <w:tcPr>
            <w:tcW w:w="1712" w:type="dxa"/>
            <w:tcBorders>
              <w:top w:val="nil"/>
              <w:left w:val="nil"/>
              <w:bottom w:val="single" w:color="auto" w:sz="4" w:space="0"/>
              <w:right w:val="single" w:color="auto" w:sz="4" w:space="0"/>
              <w:tl2br w:val="nil"/>
              <w:tr2bl w:val="nil"/>
            </w:tcBorders>
            <w:noWrap w:val="0"/>
            <w:vAlign w:val="center"/>
          </w:tcPr>
          <w:p w14:paraId="28643B4D">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将驰名商标用于商品、商品包装或者容器上，或者用于广告宣传、展览以及其他商业活动中</w:t>
            </w:r>
          </w:p>
        </w:tc>
        <w:tc>
          <w:tcPr>
            <w:tcW w:w="2421" w:type="dxa"/>
            <w:tcBorders>
              <w:top w:val="nil"/>
              <w:left w:val="nil"/>
              <w:bottom w:val="single" w:color="auto" w:sz="4" w:space="0"/>
              <w:right w:val="single" w:color="auto" w:sz="4" w:space="0"/>
              <w:tl2br w:val="nil"/>
              <w:tr2bl w:val="nil"/>
            </w:tcBorders>
            <w:noWrap w:val="0"/>
            <w:vAlign w:val="center"/>
          </w:tcPr>
          <w:p w14:paraId="4D2A6E6F">
            <w:pPr>
              <w:widowControl/>
              <w:adjustRightInd w:val="0"/>
              <w:snapToGrid w:val="0"/>
              <w:spacing w:beforeLines="0" w:afterLines="0" w:line="30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                      2.曾获得“驰名商标”认定或获保护记录，未单独使用且未突出使用“驰名商标”字样；</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3025D70E">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《商标法》第十四条第五款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生产、经营者不得将“驰名商标”字样用于商品、商品包装或者容器上，或者用于广告宣传、展览以及其他商业活动中。</w:t>
            </w:r>
          </w:p>
        </w:tc>
        <w:tc>
          <w:tcPr>
            <w:tcW w:w="4766" w:type="dxa"/>
            <w:tcBorders>
              <w:top w:val="nil"/>
              <w:left w:val="nil"/>
              <w:bottom w:val="single" w:color="auto" w:sz="4" w:space="0"/>
              <w:right w:val="single" w:color="auto" w:sz="4" w:space="0"/>
              <w:tl2br w:val="nil"/>
              <w:tr2bl w:val="nil"/>
            </w:tcBorders>
            <w:noWrap w:val="0"/>
            <w:vAlign w:val="center"/>
          </w:tcPr>
          <w:p w14:paraId="7D0F5D26">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《商标法》第五十三条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违反本法第十四条第五款规定的，由地方工商行政管理部门责令改正，处十万元罚款。</w:t>
            </w:r>
          </w:p>
        </w:tc>
      </w:tr>
      <w:tr w14:paraId="6251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CC7BD4">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DA47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100</w:t>
            </w:r>
          </w:p>
        </w:tc>
        <w:tc>
          <w:tcPr>
            <w:tcW w:w="1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1B2B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销售侵犯注册商标专用权的商品</w:t>
            </w: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1574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0F11E8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销售不知道是侵犯注册商标专用权的商品；</w:t>
            </w:r>
          </w:p>
          <w:p w14:paraId="0886B84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能证明该商品是自己合法取得并说明提供者。</w:t>
            </w:r>
          </w:p>
        </w:tc>
        <w:tc>
          <w:tcPr>
            <w:tcW w:w="4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23AE9">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《商标法》第五十七条第三项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有下列行为之一的，均属侵犯注册商标专用权：（三）销售侵犯注册商标专用权的商品的；</w:t>
            </w:r>
          </w:p>
        </w:tc>
        <w:tc>
          <w:tcPr>
            <w:tcW w:w="47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6C8D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《商标法》第六十条第一、二款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有本法第五十七条所列侵犯注册商标专用权行为之一，引起纠纷的，由当事人协商解决；不愿协商或者协商不成的，商标注册人或者利害关系人可以向人民法院起诉，也可以请求工商行政管理部门处理。</w:t>
            </w:r>
          </w:p>
          <w:p w14:paraId="0493EAE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60841592">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第六十一条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对侵犯注册商标专用权的行为，工商行政管理部门有权依法查处；涉嫌犯罪的，应当及时移送司法机关依法处理。</w:t>
            </w:r>
          </w:p>
        </w:tc>
      </w:tr>
      <w:tr w14:paraId="60E2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A99AF2">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782836DD">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101</w:t>
            </w:r>
          </w:p>
        </w:tc>
        <w:tc>
          <w:tcPr>
            <w:tcW w:w="1712" w:type="dxa"/>
            <w:tcBorders>
              <w:top w:val="single" w:color="auto" w:sz="4" w:space="0"/>
              <w:left w:val="nil"/>
              <w:bottom w:val="single" w:color="auto" w:sz="4" w:space="0"/>
              <w:right w:val="single" w:color="auto" w:sz="4" w:space="0"/>
              <w:tl2br w:val="nil"/>
              <w:tr2bl w:val="nil"/>
            </w:tcBorders>
            <w:noWrap w:val="0"/>
            <w:vAlign w:val="center"/>
          </w:tcPr>
          <w:p w14:paraId="5FD11D6E">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商标印制档案及出入库台账未按要求存档备查</w:t>
            </w:r>
          </w:p>
        </w:tc>
        <w:tc>
          <w:tcPr>
            <w:tcW w:w="2421" w:type="dxa"/>
            <w:tcBorders>
              <w:top w:val="single" w:color="auto" w:sz="4" w:space="0"/>
              <w:left w:val="nil"/>
              <w:bottom w:val="single" w:color="auto" w:sz="4" w:space="0"/>
              <w:right w:val="single" w:color="auto" w:sz="4" w:space="0"/>
              <w:tl2br w:val="nil"/>
              <w:tr2bl w:val="nil"/>
            </w:tcBorders>
            <w:noWrap w:val="0"/>
            <w:vAlign w:val="center"/>
          </w:tcPr>
          <w:p w14:paraId="476921F8">
            <w:pPr>
              <w:widowControl/>
              <w:adjustRightInd w:val="0"/>
              <w:snapToGrid w:val="0"/>
              <w:spacing w:beforeLines="0" w:afterLines="0" w:line="30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                       2.能通过其他方式查明商标印制和出入库情况；</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771" w:type="dxa"/>
            <w:tcBorders>
              <w:top w:val="single" w:color="auto" w:sz="4" w:space="0"/>
              <w:left w:val="nil"/>
              <w:bottom w:val="single" w:color="auto" w:sz="4" w:space="0"/>
              <w:right w:val="single" w:color="auto" w:sz="4" w:space="0"/>
              <w:tl2br w:val="nil"/>
              <w:tr2bl w:val="nil"/>
            </w:tcBorders>
            <w:noWrap w:val="0"/>
            <w:vAlign w:val="center"/>
          </w:tcPr>
          <w:p w14:paraId="65903DDC">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《商标印制管理办法》第十条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商标印制档案及商标标识出入库台帐应当存档备查，存查期为两年。</w:t>
            </w:r>
          </w:p>
        </w:tc>
        <w:tc>
          <w:tcPr>
            <w:tcW w:w="4766" w:type="dxa"/>
            <w:tcBorders>
              <w:top w:val="single" w:color="auto" w:sz="4" w:space="0"/>
              <w:left w:val="nil"/>
              <w:bottom w:val="single" w:color="auto" w:sz="4" w:space="0"/>
              <w:right w:val="single" w:color="auto" w:sz="4" w:space="0"/>
              <w:tl2br w:val="nil"/>
              <w:tr2bl w:val="nil"/>
            </w:tcBorders>
            <w:noWrap w:val="0"/>
            <w:vAlign w:val="center"/>
          </w:tcPr>
          <w:p w14:paraId="5837AA3A">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《商标印制管理办法》第十一条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r>
      <w:tr w14:paraId="070B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D8FDF7">
            <w:pPr>
              <w:widowControl/>
              <w:spacing w:beforeLines="0" w:afterLines="0"/>
              <w:jc w:val="center"/>
              <w:rPr>
                <w:rFonts w:hint="default" w:ascii="Times New Roman" w:hAnsi="Times New Roman" w:eastAsia="方正黑体_GBK"/>
                <w:kern w:val="0"/>
                <w:sz w:val="24"/>
                <w:szCs w:val="24"/>
              </w:rPr>
            </w:pPr>
          </w:p>
        </w:tc>
        <w:tc>
          <w:tcPr>
            <w:tcW w:w="807" w:type="dxa"/>
            <w:tcBorders>
              <w:top w:val="nil"/>
              <w:left w:val="nil"/>
              <w:bottom w:val="single" w:color="auto" w:sz="4" w:space="0"/>
              <w:right w:val="single" w:color="auto" w:sz="4" w:space="0"/>
              <w:tl2br w:val="nil"/>
              <w:tr2bl w:val="nil"/>
            </w:tcBorders>
            <w:noWrap w:val="0"/>
            <w:vAlign w:val="center"/>
          </w:tcPr>
          <w:p w14:paraId="55EA5D6E">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102</w:t>
            </w:r>
          </w:p>
        </w:tc>
        <w:tc>
          <w:tcPr>
            <w:tcW w:w="1712" w:type="dxa"/>
            <w:tcBorders>
              <w:top w:val="nil"/>
              <w:left w:val="nil"/>
              <w:bottom w:val="single" w:color="auto" w:sz="4" w:space="0"/>
              <w:right w:val="single" w:color="auto" w:sz="4" w:space="0"/>
              <w:tl2br w:val="nil"/>
              <w:tr2bl w:val="nil"/>
            </w:tcBorders>
            <w:noWrap w:val="0"/>
            <w:vAlign w:val="center"/>
          </w:tcPr>
          <w:p w14:paraId="27988D8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销售假冒专利的产品</w:t>
            </w:r>
          </w:p>
        </w:tc>
        <w:tc>
          <w:tcPr>
            <w:tcW w:w="2421" w:type="dxa"/>
            <w:tcBorders>
              <w:top w:val="nil"/>
              <w:left w:val="nil"/>
              <w:bottom w:val="single" w:color="auto" w:sz="4" w:space="0"/>
              <w:right w:val="single" w:color="auto" w:sz="4" w:space="0"/>
              <w:tl2br w:val="nil"/>
              <w:tr2bl w:val="nil"/>
            </w:tcBorders>
            <w:noWrap w:val="0"/>
            <w:vAlign w:val="center"/>
          </w:tcPr>
          <w:p w14:paraId="32DB214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销售不知道是假冒专利的产品，并且能够证明该产品合法来源；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tc>
        <w:tc>
          <w:tcPr>
            <w:tcW w:w="4771" w:type="dxa"/>
            <w:tcBorders>
              <w:top w:val="nil"/>
              <w:left w:val="nil"/>
              <w:bottom w:val="single" w:color="auto" w:sz="4" w:space="0"/>
              <w:right w:val="single" w:color="auto" w:sz="4" w:space="0"/>
              <w:tl2br w:val="nil"/>
              <w:tr2bl w:val="nil"/>
            </w:tcBorders>
            <w:noWrap w:val="0"/>
            <w:vAlign w:val="center"/>
          </w:tcPr>
          <w:p w14:paraId="7DA0F1E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《专利法实施细则》第一百零一条第一款第一、二项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下列行为属于专利法第六十八条规定的假冒专利的行为：（一）在未被授予专利权的产品或者其包装上标注专利标识，专利权被宣告无效后或者终止后继续在产品或者其包装上标注专利标识，或者未经许可在产品或者产品包装上标注他人的专利号；（二）销售第（一）项所述产品；</w:t>
            </w:r>
          </w:p>
        </w:tc>
        <w:tc>
          <w:tcPr>
            <w:tcW w:w="4766" w:type="dxa"/>
            <w:tcBorders>
              <w:top w:val="nil"/>
              <w:left w:val="nil"/>
              <w:bottom w:val="single" w:color="auto" w:sz="4" w:space="0"/>
              <w:right w:val="single" w:color="auto" w:sz="4" w:space="0"/>
              <w:tl2br w:val="nil"/>
              <w:tr2bl w:val="nil"/>
            </w:tcBorders>
            <w:noWrap w:val="0"/>
            <w:vAlign w:val="center"/>
          </w:tcPr>
          <w:p w14:paraId="3E58F431">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《专利法》第六十八条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《专利法实施细则》第一百零一条第三款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销售不知道是假冒专利的产品，并且能够证明该产品合法来源的，由县级以上负责专利执法的部门责令停止销售。</w:t>
            </w:r>
          </w:p>
        </w:tc>
      </w:tr>
      <w:tr w14:paraId="04FD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57BD930">
            <w:pPr>
              <w:widowControl/>
              <w:spacing w:beforeLines="0" w:afterLines="0"/>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认证</w:t>
            </w:r>
          </w:p>
        </w:tc>
        <w:tc>
          <w:tcPr>
            <w:tcW w:w="8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CC6CF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103</w:t>
            </w:r>
          </w:p>
        </w:tc>
        <w:tc>
          <w:tcPr>
            <w:tcW w:w="17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F768DB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认证机构的认证程序不规范</w:t>
            </w:r>
          </w:p>
        </w:tc>
        <w:tc>
          <w:tcPr>
            <w:tcW w:w="242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4AE6FA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EB8209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情节轻微且不影响认证结论的客观、真实或者认证有效性；</w:t>
            </w:r>
          </w:p>
          <w:p w14:paraId="6C3DF94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tc>
        <w:tc>
          <w:tcPr>
            <w:tcW w:w="47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3C09CD7">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《认证认可条例》第二十一条第一款</w:t>
            </w:r>
            <w:r>
              <w:rPr>
                <w:rFonts w:hint="eastAsia" w:ascii="Times New Roman" w:hAnsi="Times New Roman" w:eastAsia="方正仿宋_GBK"/>
                <w:kern w:val="0"/>
                <w:sz w:val="21"/>
                <w:szCs w:val="24"/>
              </w:rPr>
              <w:t>　认证机构以及与认证有关的检查机构、实验室从事认证以及与认证有关的检查、检测活动，应当完成认证基本规范、认证规则规定的程序，确保认证、检查、检测的完整、客观、真实，不得增加、减少、遗漏程序。</w:t>
            </w:r>
          </w:p>
          <w:p w14:paraId="1694DDD5">
            <w:pPr>
              <w:widowControl/>
              <w:spacing w:beforeLines="0" w:afterLines="0" w:line="280" w:lineRule="exact"/>
              <w:jc w:val="left"/>
              <w:rPr>
                <w:rFonts w:hint="default" w:ascii="Times New Roman" w:hAnsi="Times New Roman" w:eastAsia="方正仿宋_GBK"/>
                <w:kern w:val="0"/>
                <w:sz w:val="21"/>
                <w:szCs w:val="24"/>
              </w:rPr>
            </w:pPr>
          </w:p>
          <w:p w14:paraId="3399F41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w:t>
            </w:r>
          </w:p>
        </w:tc>
        <w:tc>
          <w:tcPr>
            <w:tcW w:w="47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E51ED3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《认证认可条例》第五十九条第一款第二项</w:t>
            </w:r>
            <w:r>
              <w:rPr>
                <w:rFonts w:hint="eastAsia" w:ascii="Times New Roman" w:hAnsi="Times New Roman" w:eastAsia="方正仿宋_GBK"/>
                <w:kern w:val="0"/>
                <w:sz w:val="21"/>
                <w:szCs w:val="24"/>
              </w:rPr>
              <w:t>　认证机构有下列情形之一的，责令改正，处5万元以上20万元以下的罚款，有违法所得的，没收违法所得；情节严重的，责令停业整顿，直至撤销批准文件，并予公布：(二)增加、减少、遗漏认证基本规范、认证规则规定的程序的；</w:t>
            </w:r>
          </w:p>
          <w:p w14:paraId="11BD79D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《认证机构管理办法》第三十九条第二款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认证机构增加、减少、遗漏程序要求，情节轻微且不影响认证结论的客观、真实或者认证有效性的，应当责令其限期改正。逾期未改正或者经改正仍不符合要求的，依照前款规定进行处罚。</w:t>
            </w:r>
          </w:p>
        </w:tc>
      </w:tr>
      <w:tr w14:paraId="2A16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8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C2C028">
            <w:pPr>
              <w:widowControl/>
              <w:spacing w:beforeLines="0" w:afterLines="0" w:line="2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循环经济</w:t>
            </w: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7BC1381C">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104</w:t>
            </w:r>
          </w:p>
        </w:tc>
        <w:tc>
          <w:tcPr>
            <w:tcW w:w="1712" w:type="dxa"/>
            <w:tcBorders>
              <w:top w:val="single" w:color="auto" w:sz="4" w:space="0"/>
              <w:left w:val="nil"/>
              <w:bottom w:val="single" w:color="auto" w:sz="4" w:space="0"/>
              <w:right w:val="single" w:color="auto" w:sz="4" w:space="0"/>
              <w:tl2br w:val="nil"/>
              <w:tr2bl w:val="nil"/>
            </w:tcBorders>
            <w:noWrap w:val="0"/>
            <w:vAlign w:val="center"/>
          </w:tcPr>
          <w:p w14:paraId="4EC01C80">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销售没有再利用</w:t>
            </w:r>
          </w:p>
          <w:p w14:paraId="59F93D4D">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产品标识的再利</w:t>
            </w:r>
          </w:p>
          <w:p w14:paraId="55E0D50A">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用电器电子产品</w:t>
            </w:r>
          </w:p>
        </w:tc>
        <w:tc>
          <w:tcPr>
            <w:tcW w:w="2421" w:type="dxa"/>
            <w:tcBorders>
              <w:top w:val="single" w:color="auto" w:sz="4" w:space="0"/>
              <w:left w:val="nil"/>
              <w:bottom w:val="single" w:color="auto" w:sz="4" w:space="0"/>
              <w:right w:val="single" w:color="auto" w:sz="4" w:space="0"/>
              <w:tl2br w:val="nil"/>
              <w:tr2bl w:val="nil"/>
            </w:tcBorders>
            <w:noWrap w:val="0"/>
            <w:vAlign w:val="center"/>
          </w:tcPr>
          <w:p w14:paraId="48461609">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01B21DD0">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308E7B40">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无主观故意；</w:t>
            </w:r>
          </w:p>
          <w:p w14:paraId="395C6E71">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产品尚未销售；</w:t>
            </w:r>
          </w:p>
          <w:p w14:paraId="22382AAC">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4</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货值金额较少；</w:t>
            </w:r>
          </w:p>
          <w:p w14:paraId="06EFEBD2">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5</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020B384F">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6</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无其他危害后果。</w:t>
            </w:r>
          </w:p>
        </w:tc>
        <w:tc>
          <w:tcPr>
            <w:tcW w:w="4771" w:type="dxa"/>
            <w:tcBorders>
              <w:top w:val="single" w:color="auto" w:sz="4" w:space="0"/>
              <w:left w:val="nil"/>
              <w:bottom w:val="single" w:color="auto" w:sz="4" w:space="0"/>
              <w:right w:val="single" w:color="auto" w:sz="4" w:space="0"/>
              <w:tl2br w:val="nil"/>
              <w:tr2bl w:val="nil"/>
            </w:tcBorders>
            <w:noWrap w:val="0"/>
            <w:vAlign w:val="center"/>
          </w:tcPr>
          <w:p w14:paraId="2B00C087">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《中华人民共和国循环经济促进法》第三十九条第一款  </w:t>
            </w:r>
            <w:r>
              <w:rPr>
                <w:rFonts w:hint="eastAsia" w:ascii="Times New Roman" w:hAnsi="方正仿宋_GBK" w:eastAsia="方正仿宋_GBK"/>
                <w:kern w:val="0"/>
                <w:sz w:val="21"/>
                <w:szCs w:val="24"/>
              </w:rPr>
              <w:t>回收的电器电子产品，经过修复后销售的，必须符合再利用产品标准，并在显著位置标识为再利用产品。</w:t>
            </w:r>
          </w:p>
        </w:tc>
        <w:tc>
          <w:tcPr>
            <w:tcW w:w="4766" w:type="dxa"/>
            <w:tcBorders>
              <w:top w:val="single" w:color="auto" w:sz="4" w:space="0"/>
              <w:left w:val="nil"/>
              <w:bottom w:val="single" w:color="auto" w:sz="4" w:space="0"/>
              <w:right w:val="single" w:color="auto" w:sz="4" w:space="0"/>
              <w:tl2br w:val="nil"/>
              <w:tr2bl w:val="nil"/>
            </w:tcBorders>
            <w:noWrap w:val="0"/>
            <w:vAlign w:val="center"/>
          </w:tcPr>
          <w:p w14:paraId="51803FF4">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《中华人民共和国循环经济促进法》第五十六条第一项  </w:t>
            </w:r>
            <w:r>
              <w:rPr>
                <w:rFonts w:hint="eastAsia" w:ascii="Times New Roman" w:hAnsi="方正仿宋_GBK" w:eastAsia="方正仿宋_GBK"/>
                <w:kern w:val="0"/>
                <w:sz w:val="21"/>
                <w:szCs w:val="24"/>
              </w:rPr>
              <w:t>违反本法规定，有下列行为之一的，由地方人民政府市场监督管理部门责令限期改正，可以处五千元以上五万元以下的罚款；逾期不改正的，依法吊销营业执照；造成损失的，依法承担赔偿责任：</w:t>
            </w:r>
          </w:p>
          <w:p w14:paraId="79E543A5">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kern w:val="0"/>
                <w:sz w:val="21"/>
                <w:szCs w:val="24"/>
              </w:rPr>
              <w:t>（一）销售没有再利用产品标识的再利用电器电子产品的。</w:t>
            </w:r>
          </w:p>
        </w:tc>
      </w:tr>
      <w:tr w14:paraId="3D09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019E129">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7C97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105</w:t>
            </w:r>
          </w:p>
        </w:tc>
        <w:tc>
          <w:tcPr>
            <w:tcW w:w="1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34975">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销售没有再制造</w:t>
            </w:r>
          </w:p>
          <w:p w14:paraId="2AF3A4A0">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或者翻新产品标</w:t>
            </w:r>
          </w:p>
          <w:p w14:paraId="7EF1E4B3">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识的再制造或者翻新产品</w:t>
            </w: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B1A5E">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496509AC">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73DAD674">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无主观故意；</w:t>
            </w:r>
          </w:p>
          <w:p w14:paraId="46D86C28">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产品尚未销售；</w:t>
            </w:r>
          </w:p>
          <w:p w14:paraId="3ADFA0D5">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4</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货值金额较少；</w:t>
            </w:r>
          </w:p>
          <w:p w14:paraId="6F3B02DF">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5</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42F472B7">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6</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无其他危害后果。</w:t>
            </w:r>
          </w:p>
        </w:tc>
        <w:tc>
          <w:tcPr>
            <w:tcW w:w="4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57145">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《中华人民共和国循环经济促进法》第四十条第二款</w:t>
            </w:r>
            <w:r>
              <w:rPr>
                <w:rFonts w:hint="eastAsia" w:ascii="Times New Roman" w:hAnsi="方正仿宋_GBK" w:eastAsia="方正仿宋_GBK"/>
                <w:kern w:val="0"/>
                <w:sz w:val="21"/>
                <w:szCs w:val="24"/>
              </w:rPr>
              <w:t>销售的再制造产品和翻新产品的质量必须符合国家规定的标准，并在显著位置标识为再制造产品或者翻新产品。</w:t>
            </w:r>
          </w:p>
        </w:tc>
        <w:tc>
          <w:tcPr>
            <w:tcW w:w="47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A0E07">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b/>
                <w:kern w:val="0"/>
                <w:sz w:val="21"/>
                <w:szCs w:val="24"/>
              </w:rPr>
              <w:t xml:space="preserve">《中华人民共和国循环经济促进法》第五十六条第二项  </w:t>
            </w:r>
            <w:r>
              <w:rPr>
                <w:rFonts w:hint="eastAsia" w:ascii="Times New Roman" w:hAnsi="方正仿宋_GBK" w:eastAsia="方正仿宋_GBK"/>
                <w:kern w:val="0"/>
                <w:sz w:val="21"/>
                <w:szCs w:val="24"/>
              </w:rPr>
              <w:t>违反本法规定，有下列行为之一的，由地方人民政府市场监督管理部门责令限期改正，可以处五千元以上五万元以下的罚款；逾期不改正的，依法吊销营业执照；造成损失的，依法承担赔偿责任：</w:t>
            </w:r>
          </w:p>
          <w:p w14:paraId="12F06271">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kern w:val="0"/>
                <w:sz w:val="21"/>
                <w:szCs w:val="24"/>
              </w:rPr>
              <w:t>（二）销售没有再制造或者翻新产品标识的再制造或者翻新产品的。</w:t>
            </w:r>
          </w:p>
        </w:tc>
      </w:tr>
      <w:tr w14:paraId="6263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01429DF">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nil"/>
              <w:bottom w:val="single" w:color="auto" w:sz="4" w:space="0"/>
              <w:right w:val="single" w:color="auto" w:sz="4" w:space="0"/>
              <w:tl2br w:val="nil"/>
              <w:tr2bl w:val="nil"/>
            </w:tcBorders>
            <w:noWrap w:val="0"/>
            <w:vAlign w:val="center"/>
          </w:tcPr>
          <w:p w14:paraId="77C6DBE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106</w:t>
            </w:r>
          </w:p>
        </w:tc>
        <w:tc>
          <w:tcPr>
            <w:tcW w:w="1712" w:type="dxa"/>
            <w:tcBorders>
              <w:top w:val="single" w:color="auto" w:sz="4" w:space="0"/>
              <w:left w:val="nil"/>
              <w:bottom w:val="single" w:color="auto" w:sz="4" w:space="0"/>
              <w:right w:val="single" w:color="auto" w:sz="4" w:space="0"/>
              <w:tl2br w:val="nil"/>
              <w:tr2bl w:val="nil"/>
            </w:tcBorders>
            <w:noWrap w:val="0"/>
            <w:vAlign w:val="center"/>
          </w:tcPr>
          <w:p w14:paraId="61419BEE">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餐饮经营者不按</w:t>
            </w:r>
          </w:p>
          <w:p w14:paraId="23570424">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照规定提供可循环使用筷子</w:t>
            </w:r>
          </w:p>
        </w:tc>
        <w:tc>
          <w:tcPr>
            <w:tcW w:w="2421" w:type="dxa"/>
            <w:tcBorders>
              <w:top w:val="single" w:color="auto" w:sz="4" w:space="0"/>
              <w:left w:val="nil"/>
              <w:bottom w:val="single" w:color="auto" w:sz="4" w:space="0"/>
              <w:right w:val="single" w:color="auto" w:sz="4" w:space="0"/>
              <w:tl2br w:val="nil"/>
              <w:tr2bl w:val="nil"/>
            </w:tcBorders>
            <w:noWrap w:val="0"/>
            <w:vAlign w:val="center"/>
          </w:tcPr>
          <w:p w14:paraId="3356E248">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78348791">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52AB80BC">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无主观故意；</w:t>
            </w:r>
          </w:p>
          <w:p w14:paraId="249902C1">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违法行为持续时间较短；</w:t>
            </w:r>
          </w:p>
          <w:p w14:paraId="3356ED3E">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4</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3E771600">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5</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无其他危害后果。</w:t>
            </w:r>
          </w:p>
        </w:tc>
        <w:tc>
          <w:tcPr>
            <w:tcW w:w="4771" w:type="dxa"/>
            <w:tcBorders>
              <w:top w:val="single" w:color="auto" w:sz="4" w:space="0"/>
              <w:left w:val="nil"/>
              <w:bottom w:val="single" w:color="auto" w:sz="4" w:space="0"/>
              <w:right w:val="single" w:color="auto" w:sz="4" w:space="0"/>
              <w:tl2br w:val="nil"/>
              <w:tr2bl w:val="nil"/>
            </w:tcBorders>
            <w:noWrap w:val="0"/>
            <w:vAlign w:val="center"/>
          </w:tcPr>
          <w:p w14:paraId="7ED12CB6">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《江苏省循环经济促进条例》第二十六条第二款  </w:t>
            </w:r>
            <w:r>
              <w:rPr>
                <w:rFonts w:hint="eastAsia" w:ascii="Times New Roman" w:hAnsi="方正仿宋_GBK" w:eastAsia="方正仿宋_GBK"/>
                <w:kern w:val="0"/>
                <w:sz w:val="21"/>
                <w:szCs w:val="24"/>
              </w:rPr>
              <w:t>自本条例施行一年后，餐饮经营者应当提供可循环使用筷子；超市、商场、集贸市场等商品零售场所不得销售、无偿或者变相无偿提供不可降解的塑料购物袋。</w:t>
            </w:r>
          </w:p>
        </w:tc>
        <w:tc>
          <w:tcPr>
            <w:tcW w:w="4766" w:type="dxa"/>
            <w:tcBorders>
              <w:top w:val="single" w:color="auto" w:sz="4" w:space="0"/>
              <w:left w:val="nil"/>
              <w:bottom w:val="single" w:color="auto" w:sz="4" w:space="0"/>
              <w:right w:val="single" w:color="auto" w:sz="4" w:space="0"/>
              <w:tl2br w:val="nil"/>
              <w:tr2bl w:val="nil"/>
            </w:tcBorders>
            <w:noWrap w:val="0"/>
            <w:vAlign w:val="center"/>
          </w:tcPr>
          <w:p w14:paraId="59FC66BD">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《江苏省循环经济促进条例》第五十九条第一款 </w:t>
            </w:r>
            <w:r>
              <w:rPr>
                <w:rFonts w:hint="eastAsia" w:ascii="Times New Roman" w:hAnsi="方正仿宋_GBK" w:eastAsia="方正仿宋_GBK"/>
                <w:kern w:val="0"/>
                <w:sz w:val="21"/>
                <w:szCs w:val="24"/>
              </w:rPr>
              <w:t xml:space="preserve"> 违反本条例第二十六条第二款规定，餐饮经营者不按照规定提供可循环使用筷子的，由县级以上地方人民政府市场监督管理部门责令限期改正，并可以处五百元以上五千元以下的罚款。</w:t>
            </w:r>
          </w:p>
        </w:tc>
      </w:tr>
      <w:tr w14:paraId="3C23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81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C7FD953">
            <w:pPr>
              <w:widowControl/>
              <w:spacing w:beforeLines="0" w:afterLines="0"/>
              <w:jc w:val="center"/>
              <w:rPr>
                <w:rFonts w:hint="default" w:ascii="Times New Roman" w:hAnsi="Times New Roman" w:eastAsia="方正黑体_GBK"/>
                <w:kern w:val="0"/>
                <w:sz w:val="24"/>
                <w:szCs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3223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107</w:t>
            </w:r>
          </w:p>
        </w:tc>
        <w:tc>
          <w:tcPr>
            <w:tcW w:w="1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E7808">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超市、商场、集贸市场等商品零售场所销售、无偿或者变相无偿提供不可降解的塑料购物袋</w:t>
            </w: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DC325">
            <w:pPr>
              <w:widowControl/>
              <w:spacing w:beforeLines="0" w:afterLines="0" w:line="280" w:lineRule="exact"/>
              <w:jc w:val="left"/>
              <w:rPr>
                <w:rFonts w:hint="default" w:ascii="Times New Roman" w:hAnsi="方正仿宋_GBK" w:eastAsia="方正仿宋_GBK"/>
                <w:kern w:val="0"/>
                <w:sz w:val="21"/>
                <w:szCs w:val="24"/>
              </w:rPr>
            </w:pPr>
            <w:r>
              <w:rPr>
                <w:rFonts w:hint="eastAsia" w:ascii="Times New Roman" w:hAnsi="方正仿宋_GBK" w:eastAsia="方正仿宋_GBK"/>
                <w:kern w:val="0"/>
                <w:sz w:val="21"/>
                <w:szCs w:val="24"/>
              </w:rPr>
              <w:t>同时具备以下条件：</w:t>
            </w:r>
          </w:p>
          <w:p w14:paraId="5ED8B8B2">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1</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初次违法；</w:t>
            </w:r>
          </w:p>
          <w:p w14:paraId="4B6FA8E4">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2</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无主观故意；</w:t>
            </w:r>
          </w:p>
          <w:p w14:paraId="66879F74">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3</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塑料购物袋数量少，违法行为持续时间短；</w:t>
            </w:r>
          </w:p>
          <w:p w14:paraId="0066C29A">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4</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及时改正；</w:t>
            </w:r>
          </w:p>
          <w:p w14:paraId="4BF486FC">
            <w:pPr>
              <w:widowControl/>
              <w:spacing w:beforeLines="0" w:afterLines="0" w:line="280" w:lineRule="exact"/>
              <w:jc w:val="left"/>
              <w:rPr>
                <w:rFonts w:hint="default" w:ascii="Times New Roman" w:hAnsi="方正仿宋_GBK" w:eastAsia="方正仿宋_GBK"/>
                <w:kern w:val="0"/>
                <w:sz w:val="21"/>
                <w:szCs w:val="24"/>
              </w:rPr>
            </w:pPr>
            <w:r>
              <w:rPr>
                <w:rFonts w:hint="default" w:ascii="Times New Roman" w:hAnsi="Times New Roman" w:eastAsia="方正仿宋_GBK"/>
                <w:kern w:val="0"/>
                <w:sz w:val="21"/>
                <w:szCs w:val="24"/>
              </w:rPr>
              <w:t>5</w:t>
            </w:r>
            <w:r>
              <w:rPr>
                <w:rFonts w:hint="default" w:ascii="Times New Roman" w:hAnsi="方正仿宋_GBK" w:eastAsia="方正仿宋_GBK"/>
                <w:kern w:val="0"/>
                <w:sz w:val="21"/>
                <w:szCs w:val="24"/>
              </w:rPr>
              <w:t>.</w:t>
            </w:r>
            <w:r>
              <w:rPr>
                <w:rFonts w:hint="eastAsia" w:ascii="Times New Roman" w:hAnsi="方正仿宋_GBK" w:eastAsia="方正仿宋_GBK"/>
                <w:kern w:val="0"/>
                <w:sz w:val="21"/>
                <w:szCs w:val="24"/>
              </w:rPr>
              <w:t>无其他危害后果。</w:t>
            </w:r>
          </w:p>
        </w:tc>
        <w:tc>
          <w:tcPr>
            <w:tcW w:w="4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1E1A9">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《江苏省循环经济促进条例》第二十六条第二款  </w:t>
            </w:r>
            <w:r>
              <w:rPr>
                <w:rFonts w:hint="eastAsia" w:ascii="Times New Roman" w:hAnsi="方正仿宋_GBK" w:eastAsia="方正仿宋_GBK"/>
                <w:kern w:val="0"/>
                <w:sz w:val="21"/>
                <w:szCs w:val="24"/>
              </w:rPr>
              <w:t>自本条例施行一年后，餐饮经营者应当提供可循环使用筷子；超市、商场、集贸市场等商品零售场所不得销售、无偿或者变相无偿提供不可降解的塑料购物袋。</w:t>
            </w:r>
          </w:p>
        </w:tc>
        <w:tc>
          <w:tcPr>
            <w:tcW w:w="47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AFD71">
            <w:pPr>
              <w:widowControl/>
              <w:spacing w:beforeLines="0" w:afterLines="0" w:line="280" w:lineRule="exact"/>
              <w:jc w:val="left"/>
              <w:rPr>
                <w:rFonts w:hint="default" w:ascii="Times New Roman" w:hAnsi="方正仿宋_GBK" w:eastAsia="方正仿宋_GBK"/>
                <w:b/>
                <w:kern w:val="0"/>
                <w:sz w:val="21"/>
                <w:szCs w:val="24"/>
              </w:rPr>
            </w:pPr>
            <w:r>
              <w:rPr>
                <w:rFonts w:hint="eastAsia" w:ascii="Times New Roman" w:hAnsi="方正仿宋_GBK" w:eastAsia="方正仿宋_GBK"/>
                <w:b/>
                <w:kern w:val="0"/>
                <w:sz w:val="21"/>
                <w:szCs w:val="24"/>
              </w:rPr>
              <w:t xml:space="preserve">《江苏省循环经济促进条例》第五十九条第二款  </w:t>
            </w:r>
            <w:r>
              <w:rPr>
                <w:rFonts w:hint="eastAsia" w:ascii="Times New Roman" w:hAnsi="方正仿宋_GBK" w:eastAsia="方正仿宋_GBK"/>
                <w:kern w:val="0"/>
                <w:sz w:val="21"/>
                <w:szCs w:val="24"/>
              </w:rPr>
              <w:t>违反本条例第二十六条第二款规定，超市、商场、集贸市场等商品零售场所销售、无偿或者变相无偿提供不可降解的塑料购物袋的，由县级以上地方人民政府市场监督管理部门责令改正，处一万元以上十万元以下的罚款。</w:t>
            </w:r>
          </w:p>
        </w:tc>
      </w:tr>
    </w:tbl>
    <w:p w14:paraId="135920AA">
      <w:pPr>
        <w:pStyle w:val="12"/>
        <w:rPr>
          <w:rFonts w:ascii="仿宋_GB2312"/>
          <w:szCs w:val="32"/>
        </w:rPr>
      </w:pPr>
    </w:p>
    <w:p w14:paraId="59D002DF">
      <w:pPr>
        <w:pStyle w:val="12"/>
        <w:rPr>
          <w:rFonts w:ascii="仿宋_GB2312"/>
          <w:szCs w:val="32"/>
        </w:rPr>
      </w:pPr>
    </w:p>
    <w:p w14:paraId="3BAC3716">
      <w:pPr>
        <w:pStyle w:val="12"/>
        <w:rPr>
          <w:rFonts w:ascii="仿宋_GB2312"/>
          <w:szCs w:val="32"/>
        </w:rPr>
      </w:pPr>
    </w:p>
    <w:p w14:paraId="1F11FF0A">
      <w:pPr>
        <w:pStyle w:val="12"/>
        <w:rPr>
          <w:rFonts w:ascii="仿宋_GB2312"/>
          <w:szCs w:val="32"/>
        </w:rPr>
      </w:pPr>
    </w:p>
    <w:p w14:paraId="1907E5DD">
      <w:pPr>
        <w:pStyle w:val="12"/>
        <w:rPr>
          <w:rFonts w:ascii="仿宋_GB2312"/>
          <w:szCs w:val="32"/>
        </w:rPr>
      </w:pPr>
    </w:p>
    <w:p w14:paraId="0267330D">
      <w:pPr>
        <w:pStyle w:val="12"/>
        <w:rPr>
          <w:rFonts w:ascii="仿宋_GB2312"/>
          <w:szCs w:val="32"/>
        </w:rPr>
      </w:pPr>
    </w:p>
    <w:p w14:paraId="2C7D7C35">
      <w:pPr>
        <w:pStyle w:val="12"/>
        <w:rPr>
          <w:rFonts w:ascii="仿宋_GB2312"/>
          <w:szCs w:val="32"/>
        </w:rPr>
        <w:sectPr>
          <w:headerReference r:id="rId5" w:type="default"/>
          <w:footerReference r:id="rId7" w:type="default"/>
          <w:headerReference r:id="rId6" w:type="even"/>
          <w:footerReference r:id="rId8" w:type="even"/>
          <w:pgSz w:w="16838" w:h="11906" w:orient="landscape"/>
          <w:pgMar w:top="1588" w:right="1962" w:bottom="1474" w:left="2268" w:header="851" w:footer="992" w:gutter="0"/>
          <w:pgNumType w:fmt="decimal"/>
          <w:cols w:space="425" w:num="1"/>
          <w:docGrid w:type="linesAndChars" w:linePitch="634" w:charSpace="-4740"/>
        </w:sectPr>
      </w:pPr>
    </w:p>
    <w:p w14:paraId="392E1FE5">
      <w:pPr>
        <w:spacing w:beforeLines="0" w:afterLines="0" w:line="560" w:lineRule="exact"/>
        <w:ind w:left="-587" w:leftChars="-574" w:hanging="1117" w:hangingChars="376"/>
        <w:rPr>
          <w:rFonts w:hint="eastAsia" w:ascii="Times New Roman" w:hAnsi="Times New Roman" w:eastAsia="方正黑体_GBK"/>
          <w:kern w:val="0"/>
          <w:sz w:val="32"/>
          <w:szCs w:val="24"/>
        </w:rPr>
      </w:pPr>
      <w:r>
        <w:rPr>
          <w:rFonts w:hint="eastAsia" w:ascii="Times New Roman" w:hAnsi="Times New Roman" w:eastAsia="方正黑体_GBK"/>
          <w:kern w:val="0"/>
          <w:sz w:val="32"/>
          <w:szCs w:val="24"/>
        </w:rPr>
        <w:t>附件2</w:t>
      </w:r>
    </w:p>
    <w:p w14:paraId="4FA000FB">
      <w:pPr>
        <w:spacing w:beforeLines="0" w:afterLines="0" w:line="560" w:lineRule="exact"/>
        <w:jc w:val="center"/>
        <w:rPr>
          <w:rFonts w:hint="default" w:ascii="Times New Roman" w:hAnsi="Times New Roman" w:eastAsia="方正小标宋_GBK"/>
          <w:kern w:val="0"/>
          <w:sz w:val="44"/>
          <w:szCs w:val="24"/>
        </w:rPr>
      </w:pPr>
      <w:r>
        <w:rPr>
          <w:rFonts w:hint="eastAsia" w:ascii="Times New Roman" w:hAnsi="Times New Roman" w:eastAsia="方正小标宋_GBK"/>
          <w:kern w:val="0"/>
          <w:sz w:val="44"/>
          <w:szCs w:val="24"/>
        </w:rPr>
        <w:t>连云港市市场监管领域轻微违法行为减轻处罚清单（</w:t>
      </w:r>
      <w:r>
        <w:rPr>
          <w:rFonts w:hint="default" w:ascii="Times New Roman" w:hAnsi="Times New Roman" w:eastAsia="方正小标宋_GBK"/>
          <w:kern w:val="0"/>
          <w:sz w:val="44"/>
          <w:szCs w:val="24"/>
        </w:rPr>
        <w:t>2025</w:t>
      </w:r>
      <w:r>
        <w:rPr>
          <w:rFonts w:hint="eastAsia" w:ascii="Times New Roman" w:hAnsi="Times New Roman" w:eastAsia="方正小标宋_GBK"/>
          <w:kern w:val="0"/>
          <w:sz w:val="44"/>
          <w:szCs w:val="24"/>
        </w:rPr>
        <w:t>年版）</w:t>
      </w:r>
    </w:p>
    <w:p w14:paraId="58E5DAD9">
      <w:pPr>
        <w:spacing w:beforeLines="0" w:afterLines="0" w:line="560" w:lineRule="exact"/>
        <w:jc w:val="center"/>
        <w:rPr>
          <w:rFonts w:hint="default" w:ascii="Times New Roman" w:hAnsi="Times New Roman" w:eastAsia="方正小标宋_GBK"/>
          <w:kern w:val="0"/>
          <w:sz w:val="44"/>
          <w:szCs w:val="24"/>
        </w:rPr>
      </w:pPr>
    </w:p>
    <w:tbl>
      <w:tblPr>
        <w:tblStyle w:val="9"/>
        <w:tblW w:w="15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5"/>
        <w:gridCol w:w="791"/>
        <w:gridCol w:w="1705"/>
        <w:gridCol w:w="2480"/>
        <w:gridCol w:w="4800"/>
        <w:gridCol w:w="4747"/>
      </w:tblGrid>
      <w:tr w14:paraId="0B9A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blHeader/>
          <w:jc w:val="center"/>
        </w:trPr>
        <w:tc>
          <w:tcPr>
            <w:tcW w:w="84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B9BDA3C">
            <w:pPr>
              <w:widowControl/>
              <w:spacing w:beforeLines="0" w:afterLines="0" w:line="3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类别</w:t>
            </w:r>
          </w:p>
        </w:tc>
        <w:tc>
          <w:tcPr>
            <w:tcW w:w="7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7465E74">
            <w:pPr>
              <w:widowControl/>
              <w:spacing w:beforeLines="0" w:afterLines="0" w:line="3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序号</w:t>
            </w:r>
          </w:p>
        </w:tc>
        <w:tc>
          <w:tcPr>
            <w:tcW w:w="1705"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3F80F460">
            <w:pPr>
              <w:widowControl/>
              <w:spacing w:beforeLines="0" w:afterLines="0" w:line="3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w:t>
            </w:r>
          </w:p>
        </w:tc>
        <w:tc>
          <w:tcPr>
            <w:tcW w:w="2480"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6C7B116C">
            <w:pPr>
              <w:widowControl/>
              <w:spacing w:beforeLines="0" w:afterLines="0" w:line="360" w:lineRule="exact"/>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减轻处罚的适用情形</w:t>
            </w:r>
          </w:p>
        </w:tc>
        <w:tc>
          <w:tcPr>
            <w:tcW w:w="4800"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29CF02A8">
            <w:pPr>
              <w:widowControl/>
              <w:spacing w:beforeLines="0" w:afterLines="0" w:line="3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违法行为的定性依据</w:t>
            </w:r>
          </w:p>
        </w:tc>
        <w:tc>
          <w:tcPr>
            <w:tcW w:w="474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6B4E516F">
            <w:pPr>
              <w:widowControl/>
              <w:spacing w:beforeLines="0" w:afterLines="0" w:line="36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违法行为的处罚依据</w:t>
            </w:r>
          </w:p>
        </w:tc>
      </w:tr>
      <w:tr w14:paraId="07AE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5" w:hRule="atLeast"/>
          <w:jc w:val="center"/>
        </w:trPr>
        <w:tc>
          <w:tcPr>
            <w:tcW w:w="845" w:type="dxa"/>
            <w:tcBorders>
              <w:top w:val="nil"/>
              <w:left w:val="single" w:color="auto" w:sz="4" w:space="0"/>
              <w:bottom w:val="single" w:color="auto" w:sz="4" w:space="0"/>
              <w:right w:val="single" w:color="auto" w:sz="4" w:space="0"/>
              <w:tl2br w:val="nil"/>
              <w:tr2bl w:val="nil"/>
            </w:tcBorders>
            <w:noWrap w:val="0"/>
            <w:vAlign w:val="center"/>
          </w:tcPr>
          <w:p w14:paraId="4DCADF5E">
            <w:pPr>
              <w:widowControl/>
              <w:spacing w:beforeLines="0" w:afterLines="0" w:line="28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市场主体登记</w:t>
            </w: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093EC25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p>
        </w:tc>
        <w:tc>
          <w:tcPr>
            <w:tcW w:w="1705" w:type="dxa"/>
            <w:tcBorders>
              <w:top w:val="nil"/>
              <w:left w:val="nil"/>
              <w:bottom w:val="single" w:color="auto" w:sz="4" w:space="0"/>
              <w:right w:val="single" w:color="auto" w:sz="4" w:space="0"/>
              <w:tl2br w:val="nil"/>
              <w:tr2bl w:val="nil"/>
            </w:tcBorders>
            <w:noWrap w:val="0"/>
            <w:vAlign w:val="center"/>
          </w:tcPr>
          <w:p w14:paraId="1AD22D1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提交不真实材料取得公司登记</w:t>
            </w:r>
          </w:p>
        </w:tc>
        <w:tc>
          <w:tcPr>
            <w:tcW w:w="2480" w:type="dxa"/>
            <w:tcBorders>
              <w:top w:val="nil"/>
              <w:left w:val="nil"/>
              <w:bottom w:val="single" w:color="auto" w:sz="4" w:space="0"/>
              <w:right w:val="single" w:color="auto" w:sz="4" w:space="0"/>
              <w:tl2br w:val="nil"/>
              <w:tr2bl w:val="nil"/>
            </w:tcBorders>
            <w:noWrap w:val="0"/>
            <w:vAlign w:val="center"/>
          </w:tcPr>
          <w:p w14:paraId="0CE3474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81050C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67D4CB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不真实材料不涉及法定代表人、股东身份信息，许可证或其他批准证明文件等重要事项；                </w:t>
            </w:r>
          </w:p>
          <w:p w14:paraId="73D1D381">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379EE4B1">
            <w:pPr>
              <w:widowControl/>
              <w:spacing w:beforeLines="0" w:afterLines="0" w:line="280" w:lineRule="exact"/>
              <w:jc w:val="left"/>
              <w:rPr>
                <w:rFonts w:hint="default" w:ascii="Times New Roman" w:hAnsi="Times New Roman" w:eastAsia="方正仿宋_GBK"/>
                <w:kern w:val="0"/>
                <w:sz w:val="21"/>
                <w:szCs w:val="24"/>
              </w:rPr>
            </w:pPr>
          </w:p>
        </w:tc>
        <w:tc>
          <w:tcPr>
            <w:tcW w:w="4800" w:type="dxa"/>
            <w:tcBorders>
              <w:top w:val="nil"/>
              <w:left w:val="nil"/>
              <w:bottom w:val="single" w:color="auto" w:sz="4" w:space="0"/>
              <w:right w:val="single" w:color="auto" w:sz="4" w:space="0"/>
              <w:tl2br w:val="nil"/>
              <w:tr2bl w:val="nil"/>
            </w:tcBorders>
            <w:noWrap w:val="0"/>
            <w:vAlign w:val="center"/>
          </w:tcPr>
          <w:p w14:paraId="08A93A3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《公司法》第二百五十条 </w:t>
            </w:r>
            <w:r>
              <w:rPr>
                <w:rFonts w:hint="eastAsia" w:ascii="Times New Roman" w:hAnsi="Times New Roman" w:eastAsia="方正仿宋_GBK"/>
                <w:kern w:val="0"/>
                <w:sz w:val="21"/>
                <w:szCs w:val="24"/>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4747" w:type="dxa"/>
            <w:tcBorders>
              <w:top w:val="nil"/>
              <w:left w:val="nil"/>
              <w:bottom w:val="single" w:color="auto" w:sz="4" w:space="0"/>
              <w:right w:val="single" w:color="auto" w:sz="4" w:space="0"/>
              <w:tl2br w:val="nil"/>
              <w:tr2bl w:val="nil"/>
            </w:tcBorders>
            <w:noWrap w:val="0"/>
            <w:vAlign w:val="center"/>
          </w:tcPr>
          <w:p w14:paraId="22DDA59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《公司法》第二百五十条 </w:t>
            </w:r>
            <w:r>
              <w:rPr>
                <w:rFonts w:hint="eastAsia" w:ascii="Times New Roman" w:hAnsi="Times New Roman" w:eastAsia="方正仿宋_GBK"/>
                <w:kern w:val="0"/>
                <w:sz w:val="21"/>
                <w:szCs w:val="24"/>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r>
      <w:tr w14:paraId="0833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2" w:hRule="atLeast"/>
          <w:jc w:val="center"/>
        </w:trPr>
        <w:tc>
          <w:tcPr>
            <w:tcW w:w="845" w:type="dxa"/>
            <w:tcBorders>
              <w:top w:val="nil"/>
              <w:left w:val="single" w:color="auto" w:sz="4" w:space="0"/>
              <w:bottom w:val="single" w:color="auto" w:sz="4" w:space="0"/>
              <w:right w:val="single" w:color="auto" w:sz="4" w:space="0"/>
              <w:tl2br w:val="nil"/>
              <w:tr2bl w:val="nil"/>
            </w:tcBorders>
            <w:noWrap w:val="0"/>
            <w:vAlign w:val="center"/>
          </w:tcPr>
          <w:p w14:paraId="588390B2">
            <w:pPr>
              <w:widowControl/>
              <w:spacing w:beforeLines="0" w:afterLines="0" w:line="320" w:lineRule="exact"/>
              <w:jc w:val="left"/>
              <w:rPr>
                <w:rFonts w:hint="default" w:ascii="Times New Roman" w:hAnsi="Times New Roman" w:eastAsia="方正仿宋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921564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p>
        </w:tc>
        <w:tc>
          <w:tcPr>
            <w:tcW w:w="1705" w:type="dxa"/>
            <w:tcBorders>
              <w:top w:val="nil"/>
              <w:left w:val="nil"/>
              <w:bottom w:val="single" w:color="auto" w:sz="4" w:space="0"/>
              <w:right w:val="single" w:color="auto" w:sz="4" w:space="0"/>
              <w:tl2br w:val="nil"/>
              <w:tr2bl w:val="nil"/>
            </w:tcBorders>
            <w:noWrap w:val="0"/>
            <w:vAlign w:val="center"/>
          </w:tcPr>
          <w:p w14:paraId="33366A1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提交不真实材料取得市场主体登记</w:t>
            </w:r>
          </w:p>
        </w:tc>
        <w:tc>
          <w:tcPr>
            <w:tcW w:w="2480" w:type="dxa"/>
            <w:tcBorders>
              <w:top w:val="nil"/>
              <w:left w:val="nil"/>
              <w:bottom w:val="single" w:color="auto" w:sz="4" w:space="0"/>
              <w:right w:val="single" w:color="auto" w:sz="4" w:space="0"/>
              <w:tl2br w:val="nil"/>
              <w:tr2bl w:val="nil"/>
            </w:tcBorders>
            <w:noWrap w:val="0"/>
            <w:vAlign w:val="center"/>
          </w:tcPr>
          <w:p w14:paraId="7AE4C6A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483C17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1F8769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不真实材料不涉及申请人资格文件、自然人身份证明等重要事项；              </w:t>
            </w:r>
          </w:p>
          <w:p w14:paraId="495AE10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7C8F6C52">
            <w:pPr>
              <w:widowControl/>
              <w:spacing w:beforeLines="0" w:afterLines="0" w:line="280" w:lineRule="exact"/>
              <w:jc w:val="left"/>
              <w:rPr>
                <w:rFonts w:hint="default" w:ascii="Times New Roman" w:hAnsi="Times New Roman" w:eastAsia="方正仿宋_GBK"/>
                <w:kern w:val="0"/>
                <w:sz w:val="21"/>
                <w:szCs w:val="24"/>
              </w:rPr>
            </w:pPr>
          </w:p>
        </w:tc>
        <w:tc>
          <w:tcPr>
            <w:tcW w:w="4800" w:type="dxa"/>
            <w:tcBorders>
              <w:top w:val="nil"/>
              <w:left w:val="nil"/>
              <w:bottom w:val="single" w:color="auto" w:sz="4" w:space="0"/>
              <w:right w:val="single" w:color="auto" w:sz="4" w:space="0"/>
              <w:tl2br w:val="nil"/>
              <w:tr2bl w:val="nil"/>
            </w:tcBorders>
            <w:noWrap w:val="0"/>
            <w:vAlign w:val="center"/>
          </w:tcPr>
          <w:p w14:paraId="4DF7C9A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《市场主体登记管理条例》第十六条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申请办理市场主体登记，应当提交下列材料：（一）申请书；（二）申请人资格文件、自然人身份证明；（三）住所或者主要经营场所相关文件；（四）公司、非公司企业法人、农民专业合作社（联合社）章程或者合伙企业合伙协议；（五）法律、行政法规和国务院市场监督管理部门规定提交的其他材料。</w:t>
            </w:r>
          </w:p>
          <w:p w14:paraId="6E80787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国务院市场监督管理部门应当根据市场主体类型分别制定登记材料清单和文书格式样本，通过政府网站、登记机关服务窗口等向社会公开。</w:t>
            </w:r>
          </w:p>
          <w:p w14:paraId="3ACDADA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登记机关能够通过政务信息共享平台获取的市场主体登记相关信息，不得要求申请人重复提供。</w:t>
            </w:r>
          </w:p>
          <w:p w14:paraId="3424E86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w:t>
            </w:r>
            <w:r>
              <w:rPr>
                <w:rFonts w:hint="eastAsia" w:ascii="Times New Roman" w:hAnsi="Times New Roman" w:eastAsia="方正仿宋_GBK"/>
                <w:b/>
                <w:kern w:val="0"/>
                <w:sz w:val="21"/>
                <w:szCs w:val="24"/>
              </w:rPr>
              <w:t>　第十七条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申请人应当对提交材料的真实性、合法性和有效性负责。</w:t>
            </w:r>
          </w:p>
        </w:tc>
        <w:tc>
          <w:tcPr>
            <w:tcW w:w="4747" w:type="dxa"/>
            <w:tcBorders>
              <w:top w:val="nil"/>
              <w:left w:val="nil"/>
              <w:bottom w:val="single" w:color="auto" w:sz="4" w:space="0"/>
              <w:right w:val="single" w:color="auto" w:sz="4" w:space="0"/>
              <w:tl2br w:val="nil"/>
              <w:tr2bl w:val="nil"/>
            </w:tcBorders>
            <w:noWrap w:val="0"/>
            <w:vAlign w:val="center"/>
          </w:tcPr>
          <w:p w14:paraId="2DAAE8C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《市场主体登记管理条例》第四十四条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提交虚假材料或者采取其他欺诈手段隐瞒重要事实取得市场主体登记的，由登记机关责令改正，没收违法所得，并处5万元以上20万元以下的罚款；情节严重的，处20万元以上100万元以下的罚款，吊销营业执照。</w:t>
            </w:r>
          </w:p>
        </w:tc>
      </w:tr>
      <w:tr w14:paraId="76D9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D5841D">
            <w:pPr>
              <w:widowControl/>
              <w:spacing w:beforeLines="0" w:afterLines="0" w:line="280" w:lineRule="exact"/>
              <w:jc w:val="center"/>
              <w:rPr>
                <w:rFonts w:hint="default" w:ascii="Times New Roman" w:hAnsi="Times New Roman" w:eastAsia="方正仿宋_GBK"/>
                <w:kern w:val="0"/>
                <w:sz w:val="21"/>
                <w:szCs w:val="24"/>
              </w:rPr>
            </w:pPr>
            <w:r>
              <w:rPr>
                <w:rFonts w:hint="eastAsia" w:ascii="Times New Roman" w:hAnsi="Times New Roman" w:eastAsia="方正黑体_GBK"/>
                <w:kern w:val="0"/>
                <w:sz w:val="24"/>
                <w:szCs w:val="24"/>
              </w:rPr>
              <w:t>电子商务</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BC7D6">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7CB0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电子商务经营者违法搭售商品、服务</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C5C45">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86C67B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395BD51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违法行为持续时间较短，或搭售的商品、服务的经营额较少；</w:t>
            </w:r>
          </w:p>
          <w:p w14:paraId="48A4D2D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未造成不良社会影响；</w:t>
            </w:r>
          </w:p>
          <w:p w14:paraId="689D072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91A60">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电子商务经营者搭售商品或者服务，应当以显著方式提醒消费者注意，不得将搭售商品或者服务作为默认同意的选项。</w:t>
            </w:r>
          </w:p>
        </w:tc>
        <w:tc>
          <w:tcPr>
            <w:tcW w:w="4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EDEB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《电子商务法》第七十七条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r>
      <w:tr w14:paraId="5304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25A654">
            <w:pPr>
              <w:widowControl/>
              <w:spacing w:beforeLines="0" w:afterLines="0" w:line="280" w:lineRule="exact"/>
              <w:jc w:val="left"/>
              <w:rPr>
                <w:rFonts w:hint="default" w:ascii="Times New Roman" w:hAnsi="Times New Roman" w:eastAsia="方正仿宋_GBK"/>
                <w:kern w:val="0"/>
                <w:sz w:val="21"/>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C8C71">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p>
        </w:tc>
        <w:tc>
          <w:tcPr>
            <w:tcW w:w="1705" w:type="dxa"/>
            <w:tcBorders>
              <w:top w:val="single" w:color="auto" w:sz="4" w:space="0"/>
              <w:left w:val="nil"/>
              <w:bottom w:val="single" w:color="auto" w:sz="4" w:space="0"/>
              <w:right w:val="single" w:color="auto" w:sz="4" w:space="0"/>
              <w:tl2br w:val="nil"/>
              <w:tr2bl w:val="nil"/>
            </w:tcBorders>
            <w:noWrap w:val="0"/>
            <w:vAlign w:val="center"/>
          </w:tcPr>
          <w:p w14:paraId="16F793A9">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电子商务经营者未向消费者明示押金退还方式、程序，对押金退还设置不合理条件</w:t>
            </w:r>
          </w:p>
        </w:tc>
        <w:tc>
          <w:tcPr>
            <w:tcW w:w="2480" w:type="dxa"/>
            <w:tcBorders>
              <w:top w:val="single" w:color="auto" w:sz="4" w:space="0"/>
              <w:left w:val="nil"/>
              <w:bottom w:val="single" w:color="auto" w:sz="4" w:space="0"/>
              <w:right w:val="single" w:color="auto" w:sz="4" w:space="0"/>
              <w:tl2br w:val="nil"/>
              <w:tr2bl w:val="nil"/>
            </w:tcBorders>
            <w:noWrap w:val="0"/>
            <w:vAlign w:val="center"/>
          </w:tcPr>
          <w:p w14:paraId="021E23A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D9898E1">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C81654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违法行为持续时间较短，或涉及消费者人数较少、金额较小；</w:t>
            </w:r>
          </w:p>
          <w:p w14:paraId="34AB279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未造成不良社会影响；</w:t>
            </w:r>
          </w:p>
          <w:p w14:paraId="32911A5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积极开展退款；</w:t>
            </w:r>
          </w:p>
          <w:p w14:paraId="10D78D9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single" w:color="auto" w:sz="4" w:space="0"/>
              <w:left w:val="nil"/>
              <w:bottom w:val="single" w:color="auto" w:sz="4" w:space="0"/>
              <w:right w:val="single" w:color="auto" w:sz="4" w:space="0"/>
              <w:tl2br w:val="nil"/>
              <w:tr2bl w:val="nil"/>
            </w:tcBorders>
            <w:noWrap w:val="0"/>
            <w:vAlign w:val="center"/>
          </w:tcPr>
          <w:p w14:paraId="71AF4F0D">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《电子商务法》第二十一条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电子商务经营者按照约定向消费者收取押金的，应当明示押金退还的方式、程序，不得对押金退还设置不合理条件。消费者申请退还押金，符合押金退还条件的，电子商务经营者应当及时退还。</w:t>
            </w:r>
          </w:p>
        </w:tc>
        <w:tc>
          <w:tcPr>
            <w:tcW w:w="4747" w:type="dxa"/>
            <w:tcBorders>
              <w:top w:val="single" w:color="auto" w:sz="4" w:space="0"/>
              <w:left w:val="nil"/>
              <w:bottom w:val="single" w:color="auto" w:sz="4" w:space="0"/>
              <w:right w:val="single" w:color="auto" w:sz="4" w:space="0"/>
              <w:tl2br w:val="nil"/>
              <w:tr2bl w:val="nil"/>
            </w:tcBorders>
            <w:noWrap w:val="0"/>
            <w:vAlign w:val="center"/>
          </w:tcPr>
          <w:p w14:paraId="206912B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《电子商务法》第七十八条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r>
      <w:tr w14:paraId="5F91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9"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E17370">
            <w:pPr>
              <w:widowControl/>
              <w:spacing w:beforeLines="0" w:afterLines="0" w:line="28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广告</w:t>
            </w:r>
          </w:p>
          <w:p w14:paraId="246C1E69">
            <w:pPr>
              <w:widowControl/>
              <w:spacing w:beforeLines="0" w:afterLines="0" w:line="320" w:lineRule="exact"/>
              <w:jc w:val="left"/>
              <w:rPr>
                <w:rFonts w:hint="default" w:ascii="Times New Roman" w:hAnsi="Times New Roman" w:eastAsia="方正仿宋_GBK"/>
                <w:kern w:val="0"/>
                <w:sz w:val="21"/>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38F92">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p>
        </w:tc>
        <w:tc>
          <w:tcPr>
            <w:tcW w:w="1705" w:type="dxa"/>
            <w:tcBorders>
              <w:top w:val="single" w:color="auto" w:sz="4" w:space="0"/>
              <w:left w:val="single" w:color="auto" w:sz="4" w:space="0"/>
              <w:bottom w:val="single" w:color="auto" w:sz="4" w:space="0"/>
              <w:right w:val="single" w:color="auto" w:sz="4" w:space="0"/>
              <w:tl2br w:val="nil"/>
              <w:tr2bl w:val="nil"/>
            </w:tcBorders>
            <w:noWrap/>
            <w:vAlign w:val="center"/>
          </w:tcPr>
          <w:p w14:paraId="77711657">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除医疗、药品、医疗器械广告外，发布的广告涉及疾病治疗功能或医疗用语</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22949">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持续时间较短，或浏览人数较少；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对市场秩序的扰乱程度较轻，且对消费者欺骗、误导作用较小；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826F3">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《广告法》第十七条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除医疗、药品、医疗器械广告外，禁止其他任何广告涉及疾病治疗功能，并不得使用医疗用语或者易使推销的商品与药品、医疗器械相混淆的用语。</w:t>
            </w:r>
          </w:p>
          <w:p w14:paraId="7AF2ED78">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《江苏省广告条例》第十五条</w:t>
            </w:r>
            <w:r>
              <w:rPr>
                <w:rFonts w:hint="eastAsia" w:ascii="Times New Roman" w:hAnsi="Times New Roman" w:eastAsia="方正仿宋_GBK"/>
                <w:kern w:val="0"/>
                <w:sz w:val="21"/>
                <w:szCs w:val="24"/>
              </w:rPr>
              <w:t>　除医疗、药品、医疗器械广告外，食品、保健用品、消毒产品、化妆品、美容美体服务等其他任何广告不得涉及疾病治疗功能，并不得使用医疗用语或者易使推销的商品与药品、医疗器械相混淆的用语。</w:t>
            </w:r>
          </w:p>
        </w:tc>
        <w:tc>
          <w:tcPr>
            <w:tcW w:w="4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F2E7B">
            <w:pPr>
              <w:widowControl/>
              <w:spacing w:beforeLines="0" w:afterLines="0" w:line="28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《广告法》第五十八条第一款第二项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年内不受理其广告审查申请:（二）违反本法第十七条规定，在广告中涉及疾病治疗功能，以及使用医疗用语或者易使推销的商品与药品、医疗器械相混淆的用语的</w:t>
            </w:r>
          </w:p>
        </w:tc>
      </w:tr>
      <w:tr w14:paraId="02BB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9"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C49E27">
            <w:pPr>
              <w:widowControl/>
              <w:spacing w:beforeLines="0" w:afterLines="0" w:line="280" w:lineRule="exact"/>
              <w:jc w:val="center"/>
              <w:rPr>
                <w:rFonts w:hint="default" w:ascii="Times New Roman" w:hAnsi="Times New Roman" w:eastAsia="方正黑体_GBK"/>
                <w:kern w:val="0"/>
                <w:sz w:val="24"/>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C8158">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p>
        </w:tc>
        <w:tc>
          <w:tcPr>
            <w:tcW w:w="1705" w:type="dxa"/>
            <w:tcBorders>
              <w:top w:val="single" w:color="auto" w:sz="4" w:space="0"/>
              <w:left w:val="nil"/>
              <w:bottom w:val="single" w:color="auto" w:sz="4" w:space="0"/>
              <w:right w:val="single" w:color="auto" w:sz="4" w:space="0"/>
              <w:tl2br w:val="nil"/>
              <w:tr2bl w:val="nil"/>
            </w:tcBorders>
            <w:noWrap/>
            <w:vAlign w:val="center"/>
          </w:tcPr>
          <w:p w14:paraId="6B64501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违反规定发布教育、培训广告</w:t>
            </w:r>
          </w:p>
        </w:tc>
        <w:tc>
          <w:tcPr>
            <w:tcW w:w="2480" w:type="dxa"/>
            <w:tcBorders>
              <w:top w:val="single" w:color="auto" w:sz="4" w:space="0"/>
              <w:left w:val="nil"/>
              <w:bottom w:val="single" w:color="auto" w:sz="4" w:space="0"/>
              <w:right w:val="single" w:color="auto" w:sz="4" w:space="0"/>
              <w:tl2br w:val="nil"/>
              <w:tr2bl w:val="nil"/>
            </w:tcBorders>
            <w:noWrap w:val="0"/>
            <w:vAlign w:val="center"/>
          </w:tcPr>
          <w:p w14:paraId="0CB7A8B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发布时间较短；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影响范围较小；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single" w:color="auto" w:sz="4" w:space="0"/>
              <w:left w:val="nil"/>
              <w:bottom w:val="single" w:color="auto" w:sz="4" w:space="0"/>
              <w:right w:val="single" w:color="auto" w:sz="4" w:space="0"/>
              <w:tl2br w:val="nil"/>
              <w:tr2bl w:val="nil"/>
            </w:tcBorders>
            <w:noWrap w:val="0"/>
            <w:vAlign w:val="center"/>
          </w:tcPr>
          <w:p w14:paraId="573FDFE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《广告法》第二十四条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教育、培训广告不得含有下列内容：</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（一）对升学、通过考试、获得学位学历或者合格证书，或者对教育、培训的效果作出明示或者暗示的保证性承诺；</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（二）明示或者暗示有相关考试机构或者其工作人员、考试命题人员参与教育、培训；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（三）利用科研单位、学术机构、教育机构、行业协会、专业人士、受益者的名义或者形象作推荐、证明。</w:t>
            </w:r>
          </w:p>
        </w:tc>
        <w:tc>
          <w:tcPr>
            <w:tcW w:w="4747" w:type="dxa"/>
            <w:tcBorders>
              <w:top w:val="single" w:color="auto" w:sz="4" w:space="0"/>
              <w:left w:val="nil"/>
              <w:bottom w:val="single" w:color="auto" w:sz="4" w:space="0"/>
              <w:right w:val="single" w:color="auto" w:sz="4" w:space="0"/>
              <w:tl2br w:val="nil"/>
              <w:tr2bl w:val="nil"/>
            </w:tcBorders>
            <w:noWrap w:val="0"/>
            <w:vAlign w:val="center"/>
          </w:tcPr>
          <w:p w14:paraId="4D82DB7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《广告法》第五十八条第一款第六项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w:t>
            </w:r>
          </w:p>
        </w:tc>
      </w:tr>
      <w:tr w14:paraId="15CA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9"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509A15">
            <w:pPr>
              <w:widowControl/>
              <w:spacing w:beforeLines="0" w:afterLines="0" w:line="280" w:lineRule="exact"/>
              <w:jc w:val="center"/>
              <w:rPr>
                <w:rFonts w:hint="default" w:ascii="Times New Roman" w:hAnsi="Times New Roman" w:eastAsia="方正仿宋_GBK"/>
                <w:kern w:val="0"/>
                <w:sz w:val="21"/>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AEA51">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w:t>
            </w:r>
          </w:p>
        </w:tc>
        <w:tc>
          <w:tcPr>
            <w:tcW w:w="1705" w:type="dxa"/>
            <w:tcBorders>
              <w:top w:val="nil"/>
              <w:left w:val="nil"/>
              <w:bottom w:val="single" w:color="auto" w:sz="4" w:space="0"/>
              <w:right w:val="single" w:color="auto" w:sz="4" w:space="0"/>
              <w:tl2br w:val="nil"/>
              <w:tr2bl w:val="nil"/>
            </w:tcBorders>
            <w:noWrap/>
            <w:vAlign w:val="center"/>
          </w:tcPr>
          <w:p w14:paraId="312A8DD4">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广告中使用“国家级”、“最高级”、“最佳”等用语</w:t>
            </w:r>
          </w:p>
        </w:tc>
        <w:tc>
          <w:tcPr>
            <w:tcW w:w="2480" w:type="dxa"/>
            <w:tcBorders>
              <w:top w:val="nil"/>
              <w:left w:val="nil"/>
              <w:bottom w:val="single" w:color="auto" w:sz="4" w:space="0"/>
              <w:right w:val="single" w:color="auto" w:sz="4" w:space="0"/>
              <w:tl2br w:val="nil"/>
              <w:tr2bl w:val="nil"/>
            </w:tcBorders>
            <w:noWrap w:val="0"/>
            <w:vAlign w:val="center"/>
          </w:tcPr>
          <w:p w14:paraId="7AB054E1">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4598014">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违法事实清楚，当场可以查实；</w:t>
            </w:r>
          </w:p>
          <w:p w14:paraId="5B908CAD">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广告主在其经营场所或者利用自有媒体发布自有商品或者服务广告；</w:t>
            </w:r>
          </w:p>
          <w:p w14:paraId="0FE57B52">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主动消除或者减轻危害后果；</w:t>
            </w:r>
          </w:p>
          <w:p w14:paraId="6A06B8AB">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546E8DE9">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《广告法》第九条第三项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广告不得有下列情形：（三）使用“国家级”、“最高级”、“最佳”等用语；</w:t>
            </w:r>
          </w:p>
          <w:p w14:paraId="79546D0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《江苏省广告条例》第十二条</w:t>
            </w:r>
            <w:r>
              <w:rPr>
                <w:rFonts w:hint="eastAsia" w:ascii="Times New Roman" w:hAnsi="Times New Roman" w:eastAsia="方正仿宋_GBK"/>
                <w:kern w:val="0"/>
                <w:sz w:val="21"/>
                <w:szCs w:val="24"/>
              </w:rPr>
              <w:t>　广告中不得使用“国家级”“最高级”“最佳”以及其他词义相同、类似的用语，直接或者间接地介绍所推销的商品或者服务。</w:t>
            </w:r>
          </w:p>
          <w:p w14:paraId="7495CCA2">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广告中使用下列用语的，不认定为违反前款规定：（一）表示时间、空间顺序的用语；（二）依据法律法规评定的奖项、称号；（三）特定行业、领域根据国家标准认定的分级用语；（四）表示广告主自我比较的分级用语；（五）表示广告主目标追求的用语；（六）客观表述并可以查证的销量、销售额、市场占有率等事实信息。</w:t>
            </w:r>
          </w:p>
        </w:tc>
        <w:tc>
          <w:tcPr>
            <w:tcW w:w="4747" w:type="dxa"/>
            <w:tcBorders>
              <w:top w:val="nil"/>
              <w:left w:val="nil"/>
              <w:bottom w:val="single" w:color="auto" w:sz="4" w:space="0"/>
              <w:right w:val="single" w:color="auto" w:sz="4" w:space="0"/>
              <w:tl2br w:val="nil"/>
              <w:tr2bl w:val="nil"/>
            </w:tcBorders>
            <w:noWrap w:val="0"/>
            <w:vAlign w:val="center"/>
          </w:tcPr>
          <w:p w14:paraId="1AA8ACF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《广告法》第五十七条第一项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一）发布有本法第九条、第十条规定的禁止情形的广告的；</w:t>
            </w:r>
          </w:p>
          <w:p w14:paraId="4C692D8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《江苏省广告条例》第五十九条第一项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违法事实清楚，当场可以查实，且当事人及时改正，主动消除或者减轻危害后果的，依法从轻、减轻处罚；违法行为轻微并及时纠正，没有造成危害后果的，依法不予处罚：（一）广告主在其经营场所或者利用自有媒体发布自有商品或者服务广告使用"国家级""最高级""最佳"等用语的；</w:t>
            </w:r>
          </w:p>
        </w:tc>
      </w:tr>
      <w:tr w14:paraId="4512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3"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F02BC9">
            <w:pPr>
              <w:widowControl/>
              <w:spacing w:beforeLines="0" w:afterLines="0" w:line="320" w:lineRule="exact"/>
              <w:jc w:val="left"/>
              <w:rPr>
                <w:rFonts w:hint="default" w:ascii="Times New Roman" w:hAnsi="Times New Roman" w:eastAsia="方正仿宋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7E97EC6C">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w:t>
            </w:r>
          </w:p>
        </w:tc>
        <w:tc>
          <w:tcPr>
            <w:tcW w:w="1705" w:type="dxa"/>
            <w:tcBorders>
              <w:top w:val="nil"/>
              <w:left w:val="nil"/>
              <w:bottom w:val="single" w:color="auto" w:sz="4" w:space="0"/>
              <w:right w:val="single" w:color="auto" w:sz="4" w:space="0"/>
              <w:tl2br w:val="nil"/>
              <w:tr2bl w:val="nil"/>
            </w:tcBorders>
            <w:noWrap w:val="0"/>
            <w:vAlign w:val="center"/>
          </w:tcPr>
          <w:p w14:paraId="2DDBC0BD">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发布已过广告审批有效期的药品、医疗器械、保健食品和特殊医学用途配方食品广告</w:t>
            </w:r>
          </w:p>
        </w:tc>
        <w:tc>
          <w:tcPr>
            <w:tcW w:w="2480" w:type="dxa"/>
            <w:tcBorders>
              <w:top w:val="nil"/>
              <w:left w:val="nil"/>
              <w:bottom w:val="single" w:color="auto" w:sz="4" w:space="0"/>
              <w:right w:val="single" w:color="auto" w:sz="4" w:space="0"/>
              <w:tl2br w:val="nil"/>
              <w:tr2bl w:val="nil"/>
            </w:tcBorders>
            <w:noWrap w:val="0"/>
            <w:vAlign w:val="center"/>
          </w:tcPr>
          <w:p w14:paraId="2677C011">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1969BDB9">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5B51726E">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逾期时间较短；</w:t>
            </w:r>
          </w:p>
          <w:p w14:paraId="1456BABA">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广告发布内容与原审查批准内容一致；</w:t>
            </w:r>
          </w:p>
          <w:p w14:paraId="4BF4CBE4">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249BDB41">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《广告法》第四十六条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发布医疗、药品、医疗器械、农药、兽药和保健食品广告，以及法律、行政法规规定应当进行审查的其他广告，应当在发布前由有关部门（以下称广告审查机关）对广告内容进行审查；未经审查，不得发布。</w:t>
            </w:r>
          </w:p>
          <w:p w14:paraId="2B3DAD49">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《药品、医疗器械、保健食品、特殊医学用途配方食品广告审查管理暂行办法》第二十六条第二项</w:t>
            </w:r>
            <w:r>
              <w:rPr>
                <w:rFonts w:hint="eastAsia" w:ascii="Times New Roman" w:hAnsi="Times New Roman" w:eastAsia="方正仿宋_GBK"/>
                <w:kern w:val="0"/>
                <w:sz w:val="21"/>
                <w:szCs w:val="24"/>
              </w:rPr>
              <w:t>　有下列情形之一的，按照《中华人民共和国广告法》第五十八条处罚：（二）违反本办法第十九条规定或者广告批准文号已超过有效期，仍继续发布药品、医疗器械、保健食品和特殊医学用途配方食品广告；</w:t>
            </w:r>
          </w:p>
        </w:tc>
        <w:tc>
          <w:tcPr>
            <w:tcW w:w="4747" w:type="dxa"/>
            <w:tcBorders>
              <w:top w:val="nil"/>
              <w:left w:val="nil"/>
              <w:bottom w:val="single" w:color="auto" w:sz="4" w:space="0"/>
              <w:right w:val="single" w:color="auto" w:sz="4" w:space="0"/>
              <w:tl2br w:val="nil"/>
              <w:tr2bl w:val="nil"/>
            </w:tcBorders>
            <w:noWrap w:val="0"/>
            <w:vAlign w:val="center"/>
          </w:tcPr>
          <w:p w14:paraId="3830D5BD">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《广告法》第五十八条第一款第十四项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r>
      <w:tr w14:paraId="5BA0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C44889">
            <w:pPr>
              <w:widowControl/>
              <w:spacing w:beforeLines="0" w:afterLines="0" w:line="320" w:lineRule="exact"/>
              <w:jc w:val="left"/>
              <w:rPr>
                <w:rFonts w:hint="default" w:ascii="Times New Roman" w:hAnsi="Times New Roman" w:eastAsia="方正仿宋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5B81D800">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w:t>
            </w:r>
          </w:p>
        </w:tc>
        <w:tc>
          <w:tcPr>
            <w:tcW w:w="1705" w:type="dxa"/>
            <w:tcBorders>
              <w:top w:val="nil"/>
              <w:left w:val="nil"/>
              <w:bottom w:val="single" w:color="auto" w:sz="4" w:space="0"/>
              <w:right w:val="single" w:color="auto" w:sz="4" w:space="0"/>
              <w:tl2br w:val="nil"/>
              <w:tr2bl w:val="nil"/>
            </w:tcBorders>
            <w:noWrap w:val="0"/>
            <w:vAlign w:val="center"/>
          </w:tcPr>
          <w:p w14:paraId="507D212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发布虚假广告</w:t>
            </w:r>
          </w:p>
        </w:tc>
        <w:tc>
          <w:tcPr>
            <w:tcW w:w="2480" w:type="dxa"/>
            <w:tcBorders>
              <w:top w:val="nil"/>
              <w:left w:val="nil"/>
              <w:bottom w:val="single" w:color="auto" w:sz="4" w:space="0"/>
              <w:right w:val="single" w:color="auto" w:sz="4" w:space="0"/>
              <w:tl2br w:val="nil"/>
              <w:tr2bl w:val="nil"/>
            </w:tcBorders>
            <w:noWrap w:val="0"/>
            <w:vAlign w:val="center"/>
          </w:tcPr>
          <w:p w14:paraId="6A24BCDC">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53BF756">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6138BFC9">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对市场秩序的扰乱程度较轻，对消费者欺骗、误导作用较小；           </w:t>
            </w:r>
          </w:p>
          <w:p w14:paraId="3F392259">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持续时间较短，或浏览人数较少，或案涉商品或者服务经营额较少；</w:t>
            </w:r>
          </w:p>
          <w:p w14:paraId="66227618">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A1A318F">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广告不得含有虚假或者引人误解的内容，不得欺骗、误导消费者。</w:t>
            </w:r>
          </w:p>
          <w:p w14:paraId="5D5414F4">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广告主应当对广告内容的真实性负责。</w:t>
            </w:r>
          </w:p>
          <w:p w14:paraId="2B359E5C">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第二十八条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广告以虚假或者引人误解的内容欺骗、误导消费者的，构成虚假广告。</w:t>
            </w:r>
          </w:p>
          <w:p w14:paraId="25025CC0">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广告有下列情形之一的，为虚假广告：</w:t>
            </w:r>
          </w:p>
          <w:p w14:paraId="40C01B24">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w:t>
            </w:r>
            <w:r>
              <w:rPr>
                <w:rFonts w:hint="eastAsia" w:ascii="Times New Roman" w:hAnsi="Times New Roman" w:eastAsia="方正仿宋_GBK"/>
                <w:kern w:val="0"/>
                <w:sz w:val="21"/>
                <w:szCs w:val="24"/>
              </w:rPr>
              <w:t>一)商品或者服务不存在的;</w:t>
            </w:r>
          </w:p>
          <w:p w14:paraId="3D928991">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w:t>
            </w:r>
            <w:r>
              <w:rPr>
                <w:rFonts w:hint="eastAsia" w:ascii="Times New Roman" w:hAnsi="Times New Roman" w:eastAsia="方正仿宋_GBK"/>
                <w:kern w:val="0"/>
                <w:sz w:val="21"/>
                <w:szCs w:val="24"/>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14:paraId="7E79B4E1">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w:t>
            </w:r>
            <w:r>
              <w:rPr>
                <w:rFonts w:hint="eastAsia" w:ascii="Times New Roman" w:hAnsi="Times New Roman" w:eastAsia="方正仿宋_GBK"/>
                <w:kern w:val="0"/>
                <w:sz w:val="21"/>
                <w:szCs w:val="24"/>
              </w:rPr>
              <w:t>三)使用虚构、伪造或者无法验证的科研成果、统计资料、调查结果、文摘、引用语等信息作证明材料的;</w:t>
            </w:r>
          </w:p>
          <w:p w14:paraId="01FA7252">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w:t>
            </w:r>
            <w:r>
              <w:rPr>
                <w:rFonts w:hint="eastAsia" w:ascii="Times New Roman" w:hAnsi="Times New Roman" w:eastAsia="方正仿宋_GBK"/>
                <w:kern w:val="0"/>
                <w:sz w:val="21"/>
                <w:szCs w:val="24"/>
              </w:rPr>
              <w:t>四)虚构使用商品或者接受服务的效果的;</w:t>
            </w:r>
          </w:p>
          <w:p w14:paraId="1C4C9EB4">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w:t>
            </w:r>
            <w:r>
              <w:rPr>
                <w:rFonts w:hint="eastAsia" w:ascii="Times New Roman" w:hAnsi="Times New Roman" w:eastAsia="方正仿宋_GBK"/>
                <w:kern w:val="0"/>
                <w:sz w:val="21"/>
                <w:szCs w:val="24"/>
              </w:rPr>
              <w:t>五)以虚假或者引人误解的内容欺骗、误导消费者的其他情形。</w:t>
            </w:r>
          </w:p>
        </w:tc>
        <w:tc>
          <w:tcPr>
            <w:tcW w:w="4747" w:type="dxa"/>
            <w:tcBorders>
              <w:top w:val="nil"/>
              <w:left w:val="nil"/>
              <w:bottom w:val="single" w:color="auto" w:sz="4" w:space="0"/>
              <w:right w:val="single" w:color="auto" w:sz="4" w:space="0"/>
              <w:tl2br w:val="nil"/>
              <w:tr2bl w:val="nil"/>
            </w:tcBorders>
            <w:noWrap w:val="0"/>
            <w:vAlign w:val="center"/>
          </w:tcPr>
          <w:p w14:paraId="6AE34E0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《广告法》第五十五条第一款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           </w:t>
            </w:r>
          </w:p>
          <w:p w14:paraId="4B69A192">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p>
        </w:tc>
      </w:tr>
      <w:tr w14:paraId="3440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093DA7">
            <w:pPr>
              <w:widowControl/>
              <w:spacing w:beforeLines="0" w:afterLines="0" w:line="320" w:lineRule="exact"/>
              <w:rPr>
                <w:rFonts w:hint="default" w:ascii="Times New Roman" w:hAnsi="Times New Roman" w:eastAsia="宋体"/>
                <w:kern w:val="0"/>
                <w:sz w:val="18"/>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CE90A0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10</w:t>
            </w:r>
          </w:p>
        </w:tc>
        <w:tc>
          <w:tcPr>
            <w:tcW w:w="1705" w:type="dxa"/>
            <w:tcBorders>
              <w:top w:val="nil"/>
              <w:left w:val="nil"/>
              <w:bottom w:val="single" w:color="auto" w:sz="4" w:space="0"/>
              <w:right w:val="single" w:color="auto" w:sz="4" w:space="0"/>
              <w:tl2br w:val="nil"/>
              <w:tr2bl w:val="nil"/>
            </w:tcBorders>
            <w:noWrap w:val="0"/>
            <w:vAlign w:val="center"/>
          </w:tcPr>
          <w:p w14:paraId="68617D20">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发布其他食品广告宣传具有保健功能</w:t>
            </w:r>
          </w:p>
        </w:tc>
        <w:tc>
          <w:tcPr>
            <w:tcW w:w="2480" w:type="dxa"/>
            <w:tcBorders>
              <w:top w:val="nil"/>
              <w:left w:val="nil"/>
              <w:bottom w:val="single" w:color="auto" w:sz="4" w:space="0"/>
              <w:right w:val="single" w:color="auto" w:sz="4" w:space="0"/>
              <w:tl2br w:val="nil"/>
              <w:tr2bl w:val="nil"/>
            </w:tcBorders>
            <w:noWrap w:val="0"/>
            <w:vAlign w:val="center"/>
          </w:tcPr>
          <w:p w14:paraId="41455BE2">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8323E25">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对市场秩序的扰乱程度较轻，对消费者欺骗、误导作用较小；           </w:t>
            </w:r>
          </w:p>
          <w:p w14:paraId="4A64E861">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持续时间较短，或浏览人数较少，或案涉商品、服务经营额较少；</w:t>
            </w:r>
          </w:p>
          <w:p w14:paraId="0BDCA57D">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50167B91">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《江苏省广告条例》第十六条第二款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其他食品广告不得宣传具有保健功能，也不得借助宣传某些成分的作用明示或者暗示其具有保健功能。</w:t>
            </w:r>
          </w:p>
        </w:tc>
        <w:tc>
          <w:tcPr>
            <w:tcW w:w="4747" w:type="dxa"/>
            <w:tcBorders>
              <w:top w:val="nil"/>
              <w:left w:val="nil"/>
              <w:bottom w:val="single" w:color="auto" w:sz="4" w:space="0"/>
              <w:right w:val="single" w:color="auto" w:sz="4" w:space="0"/>
              <w:tl2br w:val="nil"/>
              <w:tr2bl w:val="nil"/>
            </w:tcBorders>
            <w:noWrap w:val="0"/>
            <w:vAlign w:val="center"/>
          </w:tcPr>
          <w:p w14:paraId="17D8E268">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《江苏省广告条例》第五十五条第一款第一款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条例第十六条第二款规定发布其他食品广告的，由市场监督管理部门责令停止发布广告，对广告主处以广告费用一倍以上三倍以下的罚款，广告费用无法计算或者明显偏低的，处以十万元以上二十万元以下的罚款；情节严重的，处以广告费用三倍以上五倍以下的罚款，广告费用无法计算或者明显偏低的，处以二十万元以上一百万元以下的罚款。</w:t>
            </w:r>
          </w:p>
        </w:tc>
      </w:tr>
      <w:tr w14:paraId="37B4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771115">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不正当竞争</w:t>
            </w: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7038124E">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11</w:t>
            </w:r>
          </w:p>
        </w:tc>
        <w:tc>
          <w:tcPr>
            <w:tcW w:w="1705" w:type="dxa"/>
            <w:tcBorders>
              <w:top w:val="nil"/>
              <w:left w:val="nil"/>
              <w:bottom w:val="single" w:color="auto" w:sz="4" w:space="0"/>
              <w:right w:val="single" w:color="auto" w:sz="4" w:space="0"/>
              <w:tl2br w:val="nil"/>
              <w:tr2bl w:val="nil"/>
            </w:tcBorders>
            <w:noWrap w:val="0"/>
            <w:vAlign w:val="center"/>
          </w:tcPr>
          <w:p w14:paraId="4C69970E">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经营者对商品作虚假或者引人误解的商业宣传</w:t>
            </w:r>
          </w:p>
        </w:tc>
        <w:tc>
          <w:tcPr>
            <w:tcW w:w="2480" w:type="dxa"/>
            <w:tcBorders>
              <w:top w:val="nil"/>
              <w:left w:val="nil"/>
              <w:bottom w:val="single" w:color="auto" w:sz="4" w:space="0"/>
              <w:right w:val="single" w:color="auto" w:sz="4" w:space="0"/>
              <w:tl2br w:val="nil"/>
              <w:tr2bl w:val="nil"/>
            </w:tcBorders>
            <w:noWrap w:val="0"/>
            <w:vAlign w:val="center"/>
          </w:tcPr>
          <w:p w14:paraId="212B5CAB">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06F68B7">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74435C6">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对市场秩序的扰乱程度较轻，对消费者欺骗、误导作用较小；           </w:t>
            </w:r>
          </w:p>
          <w:p w14:paraId="4C8C7D40">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持续时间较短，或影响人数较少，或案涉商品、服务经营额较少；</w:t>
            </w:r>
          </w:p>
          <w:p w14:paraId="7FFD755C">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38A32958">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《反不正当竞争法》第八条第一款</w:t>
            </w:r>
            <w:r>
              <w:rPr>
                <w:rFonts w:hint="eastAsia" w:ascii="Times New Roman" w:hAnsi="Times New Roman" w:eastAsia="方正仿宋_GBK"/>
                <w:kern w:val="0"/>
                <w:sz w:val="21"/>
                <w:szCs w:val="24"/>
              </w:rPr>
              <w:t>　经营者不得对其商品的性能、功能、质量、销售状况、用户评价、曾获荣誉等作虚假或者引人误解的商业宣传，欺骗、误导消费者。</w:t>
            </w:r>
          </w:p>
        </w:tc>
        <w:tc>
          <w:tcPr>
            <w:tcW w:w="4747" w:type="dxa"/>
            <w:tcBorders>
              <w:top w:val="nil"/>
              <w:left w:val="nil"/>
              <w:bottom w:val="single" w:color="auto" w:sz="4" w:space="0"/>
              <w:right w:val="single" w:color="auto" w:sz="4" w:space="0"/>
              <w:tl2br w:val="nil"/>
              <w:tr2bl w:val="nil"/>
            </w:tcBorders>
            <w:noWrap w:val="0"/>
            <w:vAlign w:val="center"/>
          </w:tcPr>
          <w:p w14:paraId="02A056BF">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《反不正当竞争法》第二十条第一款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r>
      <w:tr w14:paraId="4264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CA6447">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3EBD11B">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12</w:t>
            </w:r>
          </w:p>
        </w:tc>
        <w:tc>
          <w:tcPr>
            <w:tcW w:w="1705" w:type="dxa"/>
            <w:tcBorders>
              <w:top w:val="nil"/>
              <w:left w:val="nil"/>
              <w:bottom w:val="single" w:color="auto" w:sz="4" w:space="0"/>
              <w:right w:val="single" w:color="auto" w:sz="4" w:space="0"/>
              <w:tl2br w:val="nil"/>
              <w:tr2bl w:val="nil"/>
            </w:tcBorders>
            <w:noWrap w:val="0"/>
            <w:vAlign w:val="center"/>
          </w:tcPr>
          <w:p w14:paraId="267F032F">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有奖销售未按规定公布相关信息</w:t>
            </w:r>
          </w:p>
        </w:tc>
        <w:tc>
          <w:tcPr>
            <w:tcW w:w="2480" w:type="dxa"/>
            <w:tcBorders>
              <w:top w:val="nil"/>
              <w:left w:val="nil"/>
              <w:bottom w:val="single" w:color="auto" w:sz="4" w:space="0"/>
              <w:right w:val="single" w:color="auto" w:sz="4" w:space="0"/>
              <w:tl2br w:val="nil"/>
              <w:tr2bl w:val="nil"/>
            </w:tcBorders>
            <w:noWrap w:val="0"/>
            <w:vAlign w:val="center"/>
          </w:tcPr>
          <w:p w14:paraId="71B58C02">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F7281E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379819FB">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缺漏部分信息及时改正后不影响兑奖；</w:t>
            </w:r>
          </w:p>
          <w:p w14:paraId="4A4E49A1">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55D23322">
            <w:pPr>
              <w:widowControl/>
              <w:spacing w:beforeLines="0" w:afterLines="0" w:line="280" w:lineRule="exact"/>
              <w:jc w:val="left"/>
              <w:rPr>
                <w:rFonts w:hint="default" w:ascii="Times New Roman" w:hAnsi="Times New Roman" w:eastAsia="方正仿宋_GBK"/>
                <w:kern w:val="0"/>
                <w:sz w:val="21"/>
                <w:szCs w:val="24"/>
              </w:rPr>
            </w:pPr>
          </w:p>
        </w:tc>
        <w:tc>
          <w:tcPr>
            <w:tcW w:w="4800" w:type="dxa"/>
            <w:tcBorders>
              <w:top w:val="nil"/>
              <w:left w:val="nil"/>
              <w:bottom w:val="single" w:color="auto" w:sz="4" w:space="0"/>
              <w:right w:val="single" w:color="auto" w:sz="4" w:space="0"/>
              <w:tl2br w:val="nil"/>
              <w:tr2bl w:val="nil"/>
            </w:tcBorders>
            <w:noWrap w:val="0"/>
            <w:vAlign w:val="center"/>
          </w:tcPr>
          <w:p w14:paraId="2CD0B421">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《规范促销行为暂行规定》第十三条第一款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tc>
        <w:tc>
          <w:tcPr>
            <w:tcW w:w="4747" w:type="dxa"/>
            <w:tcBorders>
              <w:top w:val="nil"/>
              <w:left w:val="nil"/>
              <w:bottom w:val="single" w:color="auto" w:sz="4" w:space="0"/>
              <w:right w:val="single" w:color="auto" w:sz="4" w:space="0"/>
              <w:tl2br w:val="nil"/>
              <w:tr2bl w:val="nil"/>
            </w:tcBorders>
            <w:noWrap w:val="0"/>
            <w:vAlign w:val="center"/>
          </w:tcPr>
          <w:p w14:paraId="6D3C685D">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《规范促销行为暂行规定》第二十七条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违反本规定第十三条第一款、第十四条、第十五条、第十六条、第十七条，由市场监督管理部门依据反不正当竞争法第二十二条的规定进行处罚。</w:t>
            </w:r>
          </w:p>
          <w:p w14:paraId="7EBE72F8">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《反不正当竞争法》第二十二条</w:t>
            </w:r>
            <w:r>
              <w:rPr>
                <w:rFonts w:hint="eastAsia" w:ascii="Times New Roman" w:hAnsi="Times New Roman" w:eastAsia="方正仿宋_GBK"/>
                <w:kern w:val="0"/>
                <w:sz w:val="21"/>
                <w:szCs w:val="24"/>
              </w:rPr>
              <w:t>　经营者违反本法第十条规定进行有奖销售的，由监督检查部门责令停止违法行为，处五万元以上五十万元以下的罚款。</w:t>
            </w:r>
          </w:p>
        </w:tc>
      </w:tr>
      <w:tr w14:paraId="434B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1"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473D9E">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认证</w:t>
            </w: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65282C1F">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13</w:t>
            </w:r>
          </w:p>
        </w:tc>
        <w:tc>
          <w:tcPr>
            <w:tcW w:w="1705" w:type="dxa"/>
            <w:tcBorders>
              <w:top w:val="nil"/>
              <w:left w:val="nil"/>
              <w:bottom w:val="single" w:color="auto" w:sz="4" w:space="0"/>
              <w:right w:val="single" w:color="auto" w:sz="4" w:space="0"/>
              <w:tl2br w:val="nil"/>
              <w:tr2bl w:val="nil"/>
            </w:tcBorders>
            <w:noWrap w:val="0"/>
            <w:vAlign w:val="center"/>
          </w:tcPr>
          <w:p w14:paraId="3AD2FCE6">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销售或者在经营活动中使用未经认证的实施强制性产品认证的产品</w:t>
            </w:r>
          </w:p>
        </w:tc>
        <w:tc>
          <w:tcPr>
            <w:tcW w:w="2480" w:type="dxa"/>
            <w:tcBorders>
              <w:top w:val="nil"/>
              <w:left w:val="nil"/>
              <w:bottom w:val="single" w:color="auto" w:sz="4" w:space="0"/>
              <w:right w:val="single" w:color="auto" w:sz="4" w:space="0"/>
              <w:tl2br w:val="nil"/>
              <w:tr2bl w:val="nil"/>
            </w:tcBorders>
            <w:noWrap w:val="0"/>
            <w:vAlign w:val="center"/>
          </w:tcPr>
          <w:p w14:paraId="783D05BE">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xml:space="preserve">同时具备以下条件：                    </w:t>
            </w:r>
          </w:p>
          <w:p w14:paraId="1708248A">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货值金额较小或违法所得较少；              </w:t>
            </w:r>
          </w:p>
          <w:p w14:paraId="0BC13D9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未对人体健康或者安全造成损害；</w:t>
            </w:r>
          </w:p>
          <w:p w14:paraId="0B3B2DF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能够说明产品合法来源及提供者；</w:t>
            </w:r>
          </w:p>
          <w:p w14:paraId="36F5BAF3">
            <w:pPr>
              <w:widowControl/>
              <w:spacing w:beforeLines="0" w:afterLines="0" w:line="280" w:lineRule="exact"/>
              <w:jc w:val="left"/>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9C7A9DA">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《认证认可条例》第二十七条</w:t>
            </w:r>
            <w:r>
              <w:rPr>
                <w:rFonts w:hint="eastAsia" w:ascii="Times New Roman" w:hAnsi="Times New Roman" w:eastAsia="方正仿宋_GBK"/>
                <w:kern w:val="0"/>
                <w:sz w:val="21"/>
                <w:szCs w:val="24"/>
              </w:rPr>
              <w:t xml:space="preserve">　为了保护国家安全、防止欺诈行为、保护人体健康或者安全、保护动植物生命或者健康、保护环境，国家规定相关产品必须经过认证的，应当经过认证并标注认证标志后，方可出厂、销售、进口或者在其他经营活动中使用。 </w:t>
            </w:r>
          </w:p>
        </w:tc>
        <w:tc>
          <w:tcPr>
            <w:tcW w:w="4747" w:type="dxa"/>
            <w:tcBorders>
              <w:top w:val="nil"/>
              <w:left w:val="nil"/>
              <w:bottom w:val="single" w:color="auto" w:sz="4" w:space="0"/>
              <w:right w:val="single" w:color="auto" w:sz="4" w:space="0"/>
              <w:tl2br w:val="nil"/>
              <w:tr2bl w:val="nil"/>
            </w:tcBorders>
            <w:noWrap w:val="0"/>
            <w:vAlign w:val="center"/>
          </w:tcPr>
          <w:p w14:paraId="001C4DFC">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《认证认可条例》第六十六条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r>
      <w:tr w14:paraId="7F6D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48B03A">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492A900">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14</w:t>
            </w:r>
          </w:p>
        </w:tc>
        <w:tc>
          <w:tcPr>
            <w:tcW w:w="1705" w:type="dxa"/>
            <w:tcBorders>
              <w:top w:val="nil"/>
              <w:left w:val="nil"/>
              <w:bottom w:val="single" w:color="auto" w:sz="4" w:space="0"/>
              <w:right w:val="single" w:color="auto" w:sz="4" w:space="0"/>
              <w:tl2br w:val="nil"/>
              <w:tr2bl w:val="nil"/>
            </w:tcBorders>
            <w:noWrap w:val="0"/>
            <w:vAlign w:val="center"/>
          </w:tcPr>
          <w:p w14:paraId="5958117D">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认证机构未按规定实施有效的跟踪调查</w:t>
            </w:r>
          </w:p>
        </w:tc>
        <w:tc>
          <w:tcPr>
            <w:tcW w:w="2480" w:type="dxa"/>
            <w:tcBorders>
              <w:top w:val="nil"/>
              <w:left w:val="nil"/>
              <w:bottom w:val="single" w:color="auto" w:sz="4" w:space="0"/>
              <w:right w:val="single" w:color="auto" w:sz="4" w:space="0"/>
              <w:tl2br w:val="nil"/>
              <w:tr2bl w:val="nil"/>
            </w:tcBorders>
            <w:noWrap w:val="0"/>
            <w:vAlign w:val="center"/>
          </w:tcPr>
          <w:p w14:paraId="3BA19B46">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17D4A258">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43B399C">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255E680C">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经其认证的产品、服务、管理体系符合认证要求；</w:t>
            </w:r>
          </w:p>
          <w:p w14:paraId="21AD75E9">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r>
              <w:rPr>
                <w:rFonts w:hint="default" w:ascii="Times New Roman" w:hAnsi="Times New Roman" w:eastAsia="方正仿宋_GBK"/>
                <w:kern w:val="0"/>
                <w:sz w:val="21"/>
                <w:szCs w:val="24"/>
              </w:rPr>
              <w:t xml:space="preserve">        </w:t>
            </w:r>
          </w:p>
        </w:tc>
        <w:tc>
          <w:tcPr>
            <w:tcW w:w="4800" w:type="dxa"/>
            <w:tcBorders>
              <w:top w:val="nil"/>
              <w:left w:val="nil"/>
              <w:bottom w:val="single" w:color="auto" w:sz="4" w:space="0"/>
              <w:right w:val="single" w:color="auto" w:sz="4" w:space="0"/>
              <w:tl2br w:val="nil"/>
              <w:tr2bl w:val="nil"/>
            </w:tcBorders>
            <w:noWrap w:val="0"/>
            <w:vAlign w:val="center"/>
          </w:tcPr>
          <w:p w14:paraId="2696FE63">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《认证认可条例》第二十六条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认证机构应当对其认证的产品、服务、管理体系实施有效的跟踪调查，认证的产品、服务、管理体系不能持续符合认证要求的，认证机构应当暂停其使用直至撤销认证证书，并予公布。</w:t>
            </w:r>
          </w:p>
        </w:tc>
        <w:tc>
          <w:tcPr>
            <w:tcW w:w="4747" w:type="dxa"/>
            <w:tcBorders>
              <w:top w:val="nil"/>
              <w:left w:val="nil"/>
              <w:bottom w:val="single" w:color="auto" w:sz="4" w:space="0"/>
              <w:right w:val="single" w:color="auto" w:sz="4" w:space="0"/>
              <w:tl2br w:val="nil"/>
              <w:tr2bl w:val="nil"/>
            </w:tcBorders>
            <w:noWrap w:val="0"/>
            <w:vAlign w:val="center"/>
          </w:tcPr>
          <w:p w14:paraId="66983C31">
            <w:pPr>
              <w:keepNext w:val="0"/>
              <w:keepLines w:val="0"/>
              <w:pageBreakBefore w:val="0"/>
              <w:widowControl/>
              <w:kinsoku/>
              <w:wordWrap/>
              <w:overflowPunct/>
              <w:topLinePunct w:val="0"/>
              <w:autoSpaceDE/>
              <w:autoSpaceDN/>
              <w:bidi w:val="0"/>
              <w:adjustRightInd w:val="0"/>
              <w:snapToGrid w:val="0"/>
              <w:spacing w:beforeLines="0" w:afterLines="0" w:line="30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《认证认可条例》第五十九条第一款第三项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认证机构有下列情形之一的，责令改正，处5万元以上20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　　</w:t>
            </w:r>
          </w:p>
        </w:tc>
      </w:tr>
      <w:tr w14:paraId="2F2E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jc w:val="center"/>
        </w:trPr>
        <w:tc>
          <w:tcPr>
            <w:tcW w:w="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745B3">
            <w:pPr>
              <w:widowControl/>
              <w:spacing w:beforeLines="0" w:afterLines="0" w:line="320" w:lineRule="exact"/>
              <w:jc w:val="left"/>
              <w:rPr>
                <w:rFonts w:hint="default" w:ascii="Times New Roman" w:hAnsi="Times New Roman" w:eastAsia="方正黑体_GBK"/>
                <w:kern w:val="0"/>
                <w:sz w:val="21"/>
                <w:szCs w:val="24"/>
                <w:highlight w:val="yellow"/>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64CE97B3">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15</w:t>
            </w:r>
          </w:p>
        </w:tc>
        <w:tc>
          <w:tcPr>
            <w:tcW w:w="1705" w:type="dxa"/>
            <w:tcBorders>
              <w:top w:val="nil"/>
              <w:left w:val="nil"/>
              <w:bottom w:val="single" w:color="auto" w:sz="4" w:space="0"/>
              <w:right w:val="single" w:color="auto" w:sz="4" w:space="0"/>
              <w:tl2br w:val="nil"/>
              <w:tr2bl w:val="nil"/>
            </w:tcBorders>
            <w:noWrap w:val="0"/>
            <w:vAlign w:val="center"/>
          </w:tcPr>
          <w:p w14:paraId="2410FF97">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认证机构聘用未经注册的人员从事认证活动</w:t>
            </w:r>
          </w:p>
        </w:tc>
        <w:tc>
          <w:tcPr>
            <w:tcW w:w="2480" w:type="dxa"/>
            <w:tcBorders>
              <w:top w:val="nil"/>
              <w:left w:val="nil"/>
              <w:bottom w:val="single" w:color="auto" w:sz="4" w:space="0"/>
              <w:right w:val="single" w:color="auto" w:sz="4" w:space="0"/>
              <w:tl2br w:val="nil"/>
              <w:tr2bl w:val="nil"/>
            </w:tcBorders>
            <w:noWrap w:val="0"/>
            <w:vAlign w:val="center"/>
          </w:tcPr>
          <w:p w14:paraId="6A3D0F0C">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未经注册人员虽从事认证活动但并未对外出具报告；</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未经注册的人员较少且违法行为持续时间较短；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63083B11">
            <w:pPr>
              <w:widowControl/>
              <w:spacing w:beforeLines="0" w:afterLines="0" w:line="32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《认证认可条例》第九条第二款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未经批准，任何单位和个人不得从事认证活动。</w:t>
            </w:r>
          </w:p>
        </w:tc>
        <w:tc>
          <w:tcPr>
            <w:tcW w:w="4747" w:type="dxa"/>
            <w:tcBorders>
              <w:top w:val="nil"/>
              <w:left w:val="nil"/>
              <w:bottom w:val="single" w:color="auto" w:sz="4" w:space="0"/>
              <w:right w:val="single" w:color="auto" w:sz="4" w:space="0"/>
              <w:tl2br w:val="nil"/>
              <w:tr2bl w:val="nil"/>
            </w:tcBorders>
            <w:noWrap w:val="0"/>
            <w:vAlign w:val="center"/>
          </w:tcPr>
          <w:p w14:paraId="00712B54">
            <w:pPr>
              <w:widowControl/>
              <w:spacing w:beforeLines="0" w:afterLines="0" w:line="32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《认证认可条例》第五十九条第一款第四项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认证机构有下列情形之一的，责令改正，处5万元以上20万元以下的罚款，有违法所得的，没收违法所得；情节严重的，责令停业整顿，直至撤销批准文件，并予公布：　（四）聘用未经认可机构注册的人员从事认证活动的。</w:t>
            </w:r>
          </w:p>
        </w:tc>
      </w:tr>
      <w:tr w14:paraId="04F1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2" w:hRule="atLeast"/>
          <w:jc w:val="center"/>
        </w:trPr>
        <w:tc>
          <w:tcPr>
            <w:tcW w:w="845" w:type="dxa"/>
            <w:vMerge w:val="restart"/>
            <w:tcBorders>
              <w:top w:val="nil"/>
              <w:left w:val="single" w:color="auto" w:sz="4" w:space="0"/>
              <w:bottom w:val="single" w:color="auto" w:sz="4" w:space="0"/>
              <w:right w:val="single" w:color="auto" w:sz="4" w:space="0"/>
              <w:tl2br w:val="nil"/>
              <w:tr2bl w:val="nil"/>
            </w:tcBorders>
            <w:noWrap w:val="0"/>
            <w:vAlign w:val="center"/>
          </w:tcPr>
          <w:p w14:paraId="0A614ACB">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食品安全</w:t>
            </w: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066F8F7">
            <w:pPr>
              <w:widowControl/>
              <w:spacing w:beforeLines="0" w:afterLines="0" w:line="32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16</w:t>
            </w:r>
          </w:p>
        </w:tc>
        <w:tc>
          <w:tcPr>
            <w:tcW w:w="1705" w:type="dxa"/>
            <w:tcBorders>
              <w:top w:val="nil"/>
              <w:left w:val="nil"/>
              <w:bottom w:val="single" w:color="auto" w:sz="4" w:space="0"/>
              <w:right w:val="single" w:color="auto" w:sz="4" w:space="0"/>
              <w:tl2br w:val="nil"/>
              <w:tr2bl w:val="nil"/>
            </w:tcBorders>
            <w:noWrap w:val="0"/>
            <w:vAlign w:val="center"/>
          </w:tcPr>
          <w:p w14:paraId="22CD05AB">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生产不符合法律、法规或者食品安全标准的食品、食品添加剂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4CF55468">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180ED420">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791BA389">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 </w:t>
            </w:r>
          </w:p>
          <w:p w14:paraId="0CC712BC">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sz w:val="21"/>
                <w:szCs w:val="24"/>
              </w:rPr>
              <w:t>已取得相关食品生产许可；</w:t>
            </w:r>
            <w:r>
              <w:rPr>
                <w:rFonts w:hint="default" w:ascii="Times New Roman" w:hAnsi="Times New Roman" w:eastAsia="方正仿宋_GBK"/>
                <w:kern w:val="0"/>
                <w:sz w:val="21"/>
                <w:szCs w:val="24"/>
              </w:rPr>
              <w:t xml:space="preserve"> </w:t>
            </w:r>
          </w:p>
          <w:p w14:paraId="50A007C9">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食品原料来源合法；</w:t>
            </w:r>
          </w:p>
          <w:p w14:paraId="38D42419">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货值金额较小；</w:t>
            </w:r>
          </w:p>
          <w:p w14:paraId="15911597">
            <w:pPr>
              <w:widowControl/>
              <w:spacing w:beforeLines="0" w:afterLines="0" w:line="320" w:lineRule="exact"/>
              <w:jc w:val="left"/>
              <w:rPr>
                <w:rFonts w:hint="default" w:ascii="Times New Roman" w:hAnsi="Times New Roman" w:eastAsia="方正仿宋_GBK"/>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sz w:val="21"/>
                <w:szCs w:val="24"/>
              </w:rPr>
              <w:t>未造成食源性疾病；</w:t>
            </w:r>
          </w:p>
          <w:p w14:paraId="0B272F57">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w:t>
            </w:r>
            <w:r>
              <w:rPr>
                <w:rFonts w:hint="eastAsia" w:ascii="Times New Roman" w:hAnsi="Times New Roman" w:eastAsia="方正仿宋_GBK"/>
                <w:kern w:val="0"/>
                <w:sz w:val="21"/>
                <w:szCs w:val="24"/>
              </w:rPr>
              <w:t>及时改正。</w:t>
            </w:r>
          </w:p>
          <w:p w14:paraId="58CE0A0D">
            <w:pPr>
              <w:widowControl/>
              <w:spacing w:beforeLines="0" w:afterLines="0" w:line="320" w:lineRule="exact"/>
              <w:jc w:val="left"/>
              <w:rPr>
                <w:rFonts w:hint="default" w:ascii="Times New Roman" w:hAnsi="Times New Roman" w:eastAsia="方正仿宋_GBK"/>
                <w:kern w:val="0"/>
                <w:sz w:val="21"/>
                <w:szCs w:val="24"/>
              </w:rPr>
            </w:pPr>
          </w:p>
        </w:tc>
        <w:tc>
          <w:tcPr>
            <w:tcW w:w="4800" w:type="dxa"/>
            <w:tcBorders>
              <w:top w:val="nil"/>
              <w:left w:val="nil"/>
              <w:bottom w:val="single" w:color="auto" w:sz="4" w:space="0"/>
              <w:right w:val="single" w:color="auto" w:sz="4" w:space="0"/>
              <w:tl2br w:val="nil"/>
              <w:tr2bl w:val="nil"/>
            </w:tcBorders>
            <w:noWrap w:val="0"/>
            <w:vAlign w:val="center"/>
          </w:tcPr>
          <w:p w14:paraId="6024D01E">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《食品安全法》第三十四条第二、四、六项</w:t>
            </w:r>
            <w:r>
              <w:rPr>
                <w:rFonts w:hint="eastAsia" w:ascii="Times New Roman" w:hAnsi="Times New Roman" w:eastAsia="方正仿宋_GBK"/>
                <w:kern w:val="0"/>
                <w:sz w:val="21"/>
                <w:szCs w:val="24"/>
              </w:rPr>
              <w:t>　禁止生产经营下列食品、食品添加剂、食品相关产品：（二）致病性微生物，农药残留、兽药残留、生物毒素、重金属等污染物质以及其他危害人体健康的物质含量超过食品安全标准限量的食品、食品添加剂、食品相关产品；（四）超范围、超限量使用食品添加剂的食品；（六）腐败变质、油脂酸败、霉变生虫、污秽不洁、混有异物、掺假掺杂或者感官性状异常的食品、食品添加剂；</w:t>
            </w:r>
          </w:p>
        </w:tc>
        <w:tc>
          <w:tcPr>
            <w:tcW w:w="4747" w:type="dxa"/>
            <w:tcBorders>
              <w:top w:val="nil"/>
              <w:left w:val="nil"/>
              <w:bottom w:val="single" w:color="auto" w:sz="4" w:space="0"/>
              <w:right w:val="single" w:color="auto" w:sz="4" w:space="0"/>
              <w:tl2br w:val="nil"/>
              <w:tr2bl w:val="nil"/>
            </w:tcBorders>
            <w:noWrap w:val="0"/>
            <w:vAlign w:val="center"/>
          </w:tcPr>
          <w:p w14:paraId="20381C9B">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《食品安全法》第一百二十四条第一款第一、三、四项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三）生产经营超范围、超限量使用食品添加剂的食品；（四）生产经营腐败变质、油脂酸败、霉变生虫、污秽不洁、混有异物、掺假掺杂或者感官性状异常的食品、食品添加剂；</w:t>
            </w:r>
          </w:p>
        </w:tc>
      </w:tr>
      <w:tr w14:paraId="2EB3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56594C">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F111336">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17</w:t>
            </w:r>
          </w:p>
        </w:tc>
        <w:tc>
          <w:tcPr>
            <w:tcW w:w="1705" w:type="dxa"/>
            <w:tcBorders>
              <w:top w:val="nil"/>
              <w:left w:val="nil"/>
              <w:bottom w:val="single" w:color="auto" w:sz="4" w:space="0"/>
              <w:right w:val="single" w:color="auto" w:sz="4" w:space="0"/>
              <w:tl2br w:val="nil"/>
              <w:tr2bl w:val="nil"/>
            </w:tcBorders>
            <w:noWrap w:val="0"/>
            <w:vAlign w:val="center"/>
          </w:tcPr>
          <w:p w14:paraId="639B21C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经营不符合法律、法规或者食品安全标准的食品、食品添加剂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378FE2A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违法行为持续时间较短；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需要取得许可的，已取得相关许可；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案涉食品、食品添加剂来源合法；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货值金额较小；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未造成食源性疾病；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286088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《食品安全法》第三十四条第二、四、六项</w:t>
            </w:r>
            <w:r>
              <w:rPr>
                <w:rFonts w:hint="eastAsia" w:ascii="Times New Roman" w:hAnsi="Times New Roman" w:eastAsia="方正仿宋_GBK"/>
                <w:kern w:val="0"/>
                <w:sz w:val="21"/>
                <w:szCs w:val="24"/>
              </w:rPr>
              <w:t>　禁止生产经营下列食品、食品添加剂、食品相关产品：（二）致病性微生物，农药残留、兽药残留、生物毒素、重金属等污染物质以及其他危害人体健康的物质含量超过食品安全标准限量的食品、食品添加剂、食品相关产品；（四）超范围、超限量使用食品添加剂的食品；（六）腐败变质、油脂酸败、霉变生虫、污秽不洁、混有异物、掺假掺杂或者感官性状异常的食品、食品添加剂；</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禁止销售者采购、销售食品安全法第三十四条规定情形的食用农产品。</w:t>
            </w:r>
          </w:p>
        </w:tc>
        <w:tc>
          <w:tcPr>
            <w:tcW w:w="4747" w:type="dxa"/>
            <w:tcBorders>
              <w:top w:val="nil"/>
              <w:left w:val="nil"/>
              <w:bottom w:val="single" w:color="auto" w:sz="4" w:space="0"/>
              <w:right w:val="single" w:color="auto" w:sz="4" w:space="0"/>
              <w:tl2br w:val="nil"/>
              <w:tr2bl w:val="nil"/>
            </w:tcBorders>
            <w:noWrap w:val="0"/>
            <w:vAlign w:val="center"/>
          </w:tcPr>
          <w:p w14:paraId="38A523F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《食品安全法》第一百二十四条第一款第一、三、四项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三）生产经营超范围、超限量使用食品添加剂的食品；（四）生产经营腐败变质、油脂酸败、霉变生虫、污秽不洁、混有异物、掺假掺杂或者感官性状异常的食品、食品添加剂；</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销售者违反本办法第十五条规定，采购、销售食品安全法第三十四条规定情形的食用农产品的，由县级以上市场监督管理部门依照食品安全法有关规定给予处罚。</w:t>
            </w:r>
          </w:p>
        </w:tc>
      </w:tr>
      <w:tr w14:paraId="0A63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007F5">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5D3448BA">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18</w:t>
            </w:r>
          </w:p>
        </w:tc>
        <w:tc>
          <w:tcPr>
            <w:tcW w:w="1705" w:type="dxa"/>
            <w:tcBorders>
              <w:top w:val="nil"/>
              <w:left w:val="nil"/>
              <w:bottom w:val="single" w:color="auto" w:sz="4" w:space="0"/>
              <w:right w:val="single" w:color="auto" w:sz="4" w:space="0"/>
              <w:tl2br w:val="nil"/>
              <w:tr2bl w:val="nil"/>
            </w:tcBorders>
            <w:noWrap w:val="0"/>
            <w:vAlign w:val="center"/>
          </w:tcPr>
          <w:p w14:paraId="4A9B2B9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经营未按规定检疫检验的肉类、肉类制品</w:t>
            </w:r>
          </w:p>
        </w:tc>
        <w:tc>
          <w:tcPr>
            <w:tcW w:w="2480" w:type="dxa"/>
            <w:tcBorders>
              <w:top w:val="nil"/>
              <w:left w:val="nil"/>
              <w:bottom w:val="single" w:color="auto" w:sz="4" w:space="0"/>
              <w:right w:val="single" w:color="auto" w:sz="4" w:space="0"/>
              <w:tl2br w:val="nil"/>
              <w:tr2bl w:val="nil"/>
            </w:tcBorders>
            <w:noWrap w:val="0"/>
            <w:vAlign w:val="center"/>
          </w:tcPr>
          <w:p w14:paraId="3B85878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需要取得许可的，已取得相关许可；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经检疫或者检验合格；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货值金额较小；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 xml:space="preserve">未造成食源性疾病；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7.</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56D6639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《食品安全法》第三十四条第八项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（八）未按规定进行检疫或者检疫不合格的肉类，或者未经检验或者检验不合格的肉类制品；</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禁止销售者采购、销售食品安全法第三十四条规定情形的食用农产品。</w:t>
            </w:r>
          </w:p>
        </w:tc>
        <w:tc>
          <w:tcPr>
            <w:tcW w:w="4747" w:type="dxa"/>
            <w:tcBorders>
              <w:top w:val="nil"/>
              <w:left w:val="nil"/>
              <w:bottom w:val="single" w:color="auto" w:sz="4" w:space="0"/>
              <w:right w:val="single" w:color="auto" w:sz="4" w:space="0"/>
              <w:tl2br w:val="nil"/>
              <w:tr2bl w:val="nil"/>
            </w:tcBorders>
            <w:noWrap w:val="0"/>
            <w:vAlign w:val="center"/>
          </w:tcPr>
          <w:p w14:paraId="19A96D9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《食品安全法》第一百二十三条第一款第四项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（四）经营未按规定进行检疫或者检疫不合格的肉类，或者生产经营未经检验或者检验不合格的肉类制品；</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销售者违反本办法第十五条规定，采购、销售食品安全法第三十四条规定情形的食用农产品的，由县级以上市场监督管理部门依照食品安全法有关规定给予处罚。</w:t>
            </w:r>
          </w:p>
        </w:tc>
      </w:tr>
      <w:tr w14:paraId="12BD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7CFADC">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5D8EBABA">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19</w:t>
            </w:r>
          </w:p>
        </w:tc>
        <w:tc>
          <w:tcPr>
            <w:tcW w:w="1705" w:type="dxa"/>
            <w:tcBorders>
              <w:top w:val="nil"/>
              <w:left w:val="nil"/>
              <w:bottom w:val="single" w:color="auto" w:sz="4" w:space="0"/>
              <w:right w:val="single" w:color="auto" w:sz="4" w:space="0"/>
              <w:tl2br w:val="nil"/>
              <w:tr2bl w:val="nil"/>
            </w:tcBorders>
            <w:noWrap w:val="0"/>
            <w:vAlign w:val="center"/>
          </w:tcPr>
          <w:p w14:paraId="1B403B6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餐饮服务提供者使用超过保质期的食品原料、食品添加剂制作食品</w:t>
            </w:r>
          </w:p>
        </w:tc>
        <w:tc>
          <w:tcPr>
            <w:tcW w:w="2480" w:type="dxa"/>
            <w:tcBorders>
              <w:top w:val="nil"/>
              <w:left w:val="nil"/>
              <w:bottom w:val="single" w:color="auto" w:sz="4" w:space="0"/>
              <w:right w:val="single" w:color="auto" w:sz="4" w:space="0"/>
              <w:tl2br w:val="nil"/>
              <w:tr2bl w:val="nil"/>
            </w:tcBorders>
            <w:noWrap w:val="0"/>
            <w:vAlign w:val="center"/>
          </w:tcPr>
          <w:p w14:paraId="7E8AE9D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B0F0ED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超过保质期时间较短；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案涉过期食品原料、食品添加剂货值金额较小；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未造成食源性疾病；</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6E454D5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（三）用超过保质期的食品原料、食品添加剂生产的食品、食品添加剂；</w:t>
            </w:r>
          </w:p>
        </w:tc>
        <w:tc>
          <w:tcPr>
            <w:tcW w:w="4747" w:type="dxa"/>
            <w:tcBorders>
              <w:top w:val="nil"/>
              <w:left w:val="nil"/>
              <w:bottom w:val="single" w:color="auto" w:sz="4" w:space="0"/>
              <w:right w:val="single" w:color="auto" w:sz="4" w:space="0"/>
              <w:tl2br w:val="nil"/>
              <w:tr2bl w:val="nil"/>
            </w:tcBorders>
            <w:noWrap w:val="0"/>
            <w:vAlign w:val="center"/>
          </w:tcPr>
          <w:p w14:paraId="40DE65BA">
            <w:pPr>
              <w:widowControl/>
              <w:spacing w:beforeLines="0" w:afterLines="0" w:line="28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《食品安全法》第一百二十四条第一款第二项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（二）用超过保质期的食品原料、食品添加剂生产食品、食品添加剂，或者经营上述食品、食品添加剂；</w:t>
            </w:r>
          </w:p>
        </w:tc>
      </w:tr>
      <w:tr w14:paraId="73EF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56D636">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7F871E98">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20</w:t>
            </w:r>
          </w:p>
        </w:tc>
        <w:tc>
          <w:tcPr>
            <w:tcW w:w="1705" w:type="dxa"/>
            <w:tcBorders>
              <w:top w:val="nil"/>
              <w:left w:val="nil"/>
              <w:bottom w:val="single" w:color="auto" w:sz="4" w:space="0"/>
              <w:right w:val="single" w:color="auto" w:sz="4" w:space="0"/>
              <w:tl2br w:val="nil"/>
              <w:tr2bl w:val="nil"/>
            </w:tcBorders>
            <w:noWrap w:val="0"/>
            <w:vAlign w:val="center"/>
          </w:tcPr>
          <w:p w14:paraId="4F2C183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经营超过保质期的食品、食品添加剂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33B780C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超过保质期时间较短；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案涉过期食品、食品添加剂货值金额较小；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未造成食源性疾病；</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3542D1A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《食品安全法》第三十四条第十项</w:t>
            </w:r>
            <w:r>
              <w:rPr>
                <w:rFonts w:hint="eastAsia" w:ascii="Times New Roman" w:hAnsi="Times New Roman" w:eastAsia="方正仿宋_GBK"/>
                <w:kern w:val="0"/>
                <w:sz w:val="21"/>
                <w:szCs w:val="24"/>
              </w:rPr>
              <w:t>　禁止生产经营下列食品、食品添加剂、食品相关产品：</w:t>
            </w:r>
          </w:p>
          <w:p w14:paraId="4F60BAA0">
            <w:pPr>
              <w:widowControl/>
              <w:spacing w:beforeLines="0" w:afterLines="0" w:line="30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（十）标注虚假生产日期、保质期或者超过保质期的食品、食品添加剂；</w:t>
            </w:r>
          </w:p>
        </w:tc>
        <w:tc>
          <w:tcPr>
            <w:tcW w:w="4747" w:type="dxa"/>
            <w:tcBorders>
              <w:top w:val="nil"/>
              <w:left w:val="nil"/>
              <w:bottom w:val="single" w:color="auto" w:sz="4" w:space="0"/>
              <w:right w:val="single" w:color="auto" w:sz="4" w:space="0"/>
              <w:tl2br w:val="nil"/>
              <w:tr2bl w:val="nil"/>
            </w:tcBorders>
            <w:noWrap w:val="0"/>
            <w:vAlign w:val="center"/>
          </w:tcPr>
          <w:p w14:paraId="6CF2A53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《食品安全法》第一百二十四条第一款第五项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r>
      <w:tr w14:paraId="5520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4"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666CAE">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23BB0A62">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21</w:t>
            </w:r>
          </w:p>
        </w:tc>
        <w:tc>
          <w:tcPr>
            <w:tcW w:w="1705" w:type="dxa"/>
            <w:tcBorders>
              <w:top w:val="nil"/>
              <w:left w:val="nil"/>
              <w:bottom w:val="single" w:color="auto" w:sz="4" w:space="0"/>
              <w:right w:val="single" w:color="auto" w:sz="4" w:space="0"/>
              <w:tl2br w:val="nil"/>
              <w:tr2bl w:val="nil"/>
            </w:tcBorders>
            <w:noWrap w:val="0"/>
            <w:vAlign w:val="center"/>
          </w:tcPr>
          <w:p w14:paraId="7E985D1E">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生产其他不符合法律、法规或者食品安全标准的食品、食品添加剂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43F24064">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057A63DD">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52CF6626">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 </w:t>
            </w:r>
          </w:p>
          <w:p w14:paraId="3242BE6E">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已取得相关食品生产许可； </w:t>
            </w:r>
          </w:p>
          <w:p w14:paraId="058DB7FD">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案涉食品、食品添加剂或者食品原料来源合法；           </w:t>
            </w:r>
          </w:p>
          <w:p w14:paraId="3BFD825D">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货值金额较小；</w:t>
            </w:r>
          </w:p>
          <w:p w14:paraId="66A32FA5">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 xml:space="preserve">未造成食源性疾病；            </w:t>
            </w:r>
          </w:p>
          <w:p w14:paraId="7E1D194B">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00C6ED36">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《食品安全法》第三十四条第十三项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禁止生产经营下列食品、食品添加剂、食品相关产品：（十三）其他不符合法律、法规或者食品安全标准的食品、食品添加剂、食品相关产品。</w:t>
            </w:r>
          </w:p>
        </w:tc>
        <w:tc>
          <w:tcPr>
            <w:tcW w:w="4747" w:type="dxa"/>
            <w:tcBorders>
              <w:top w:val="nil"/>
              <w:left w:val="nil"/>
              <w:bottom w:val="single" w:color="auto" w:sz="4" w:space="0"/>
              <w:right w:val="single" w:color="auto" w:sz="4" w:space="0"/>
              <w:tl2br w:val="nil"/>
              <w:tr2bl w:val="nil"/>
            </w:tcBorders>
            <w:noWrap w:val="0"/>
            <w:vAlign w:val="center"/>
          </w:tcPr>
          <w:p w14:paraId="0F1C06C7">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除前款和本法第一百二十三条、第一百二十五条规定的情形外，生产经营不符合法律、法规或者食品安全标准的食品、食品添加剂的，依照前款规定给予处罚。</w:t>
            </w:r>
          </w:p>
        </w:tc>
      </w:tr>
      <w:tr w14:paraId="49A8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B7ECB0">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19817C9F">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22</w:t>
            </w:r>
          </w:p>
        </w:tc>
        <w:tc>
          <w:tcPr>
            <w:tcW w:w="1705" w:type="dxa"/>
            <w:tcBorders>
              <w:top w:val="nil"/>
              <w:left w:val="nil"/>
              <w:bottom w:val="single" w:color="auto" w:sz="4" w:space="0"/>
              <w:right w:val="single" w:color="auto" w:sz="4" w:space="0"/>
              <w:tl2br w:val="nil"/>
              <w:tr2bl w:val="nil"/>
            </w:tcBorders>
            <w:noWrap w:val="0"/>
            <w:vAlign w:val="center"/>
          </w:tcPr>
          <w:p w14:paraId="58977C6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经营其他不符合法律、法规或者食品安全标准的食品、食品添加剂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5B60A98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 xml:space="preserve">违法行为持续时间较短；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需要取得许可的，已取得相关许可；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案涉食品、食品添加剂或者食品原料来源合法；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货值金额较小；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未造成食源性疾病；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7921CF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《食品安全法》第三十四条第十三项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禁止生产经营下列食品、食品添加剂、食品相关产品：</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（十三）其他不符合法律、法规或者食品安全标准的食品、食品添加剂、食品相关产品。</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禁止销售者采购、销售食品安全法第三十四条规定情形的食用农产品。</w:t>
            </w:r>
          </w:p>
        </w:tc>
        <w:tc>
          <w:tcPr>
            <w:tcW w:w="4747" w:type="dxa"/>
            <w:tcBorders>
              <w:top w:val="nil"/>
              <w:left w:val="nil"/>
              <w:bottom w:val="single" w:color="auto" w:sz="4" w:space="0"/>
              <w:right w:val="single" w:color="auto" w:sz="4" w:space="0"/>
              <w:tl2br w:val="nil"/>
              <w:tr2bl w:val="nil"/>
            </w:tcBorders>
            <w:noWrap w:val="0"/>
            <w:vAlign w:val="center"/>
          </w:tcPr>
          <w:p w14:paraId="3AC16247">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《食品安全法》第一百二十四条第二款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除前款和本法第一百二十三条、第一百二十五条规定的情形外，生产经营不符合法律、法规或者食品安全标准的食品、食品添加剂的，依照前款规定给予处罚。</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《食用农产品市场销售质量安全监督管理办法》第四十二条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销售者违反本办法第十五条规定，采购、销售食品安全法第三十四条规定情形的食用农产品的，由县级以上市场监督管理部门依照食品安全法有关规定给予处罚。</w:t>
            </w:r>
          </w:p>
        </w:tc>
      </w:tr>
      <w:tr w14:paraId="229D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A56329">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F292F16">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23</w:t>
            </w:r>
          </w:p>
        </w:tc>
        <w:tc>
          <w:tcPr>
            <w:tcW w:w="1705" w:type="dxa"/>
            <w:tcBorders>
              <w:top w:val="nil"/>
              <w:left w:val="nil"/>
              <w:bottom w:val="single" w:color="auto" w:sz="4" w:space="0"/>
              <w:right w:val="single" w:color="auto" w:sz="4" w:space="0"/>
              <w:tl2br w:val="nil"/>
              <w:tr2bl w:val="nil"/>
            </w:tcBorders>
            <w:noWrap w:val="0"/>
            <w:vAlign w:val="center"/>
          </w:tcPr>
          <w:p w14:paraId="69449B4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食品经营许可证载明的许可事项发生变化，食品经营者未按照规定申请变更</w:t>
            </w:r>
          </w:p>
        </w:tc>
        <w:tc>
          <w:tcPr>
            <w:tcW w:w="2480" w:type="dxa"/>
            <w:tcBorders>
              <w:top w:val="nil"/>
              <w:left w:val="nil"/>
              <w:bottom w:val="single" w:color="auto" w:sz="4" w:space="0"/>
              <w:right w:val="single" w:color="auto" w:sz="4" w:space="0"/>
              <w:tl2br w:val="nil"/>
              <w:tr2bl w:val="nil"/>
            </w:tcBorders>
            <w:noWrap w:val="0"/>
            <w:vAlign w:val="center"/>
          </w:tcPr>
          <w:p w14:paraId="3C42DF6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食品原料来源合法，使用的食品原料和加工的食品安全风险等级未升高；</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持续时间较短，或案涉食品货值较小；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及时终止违法行为，或者及时取得变更许可。</w:t>
            </w:r>
          </w:p>
        </w:tc>
        <w:tc>
          <w:tcPr>
            <w:tcW w:w="4800" w:type="dxa"/>
            <w:tcBorders>
              <w:top w:val="nil"/>
              <w:left w:val="nil"/>
              <w:bottom w:val="single" w:color="auto" w:sz="4" w:space="0"/>
              <w:right w:val="single" w:color="auto" w:sz="4" w:space="0"/>
              <w:tl2br w:val="nil"/>
              <w:tr2bl w:val="nil"/>
            </w:tcBorders>
            <w:noWrap w:val="0"/>
            <w:vAlign w:val="center"/>
          </w:tcPr>
          <w:p w14:paraId="63D120DA">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《网络食品安全违法行为查处办法》第十六条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入网食品生产经营者应当依法取得许可，入网食品生产者应当按照许可的类别范围销售食品，入网食品经营者应当按照许可的经营项目范围从事食品经营。法律、法规规定不需要取得食品生产经营许可的除外。</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取得食品生产许可的食品生产者，通过网络销售其生产的食品，不需要取得食品经营许可。取得食品经营许可的食品经营者通过网络销售其制作加工的食品，不需要取得食品生产许可。</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《食品经营许可和备案管理办法》第二十九条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tc>
        <w:tc>
          <w:tcPr>
            <w:tcW w:w="4747" w:type="dxa"/>
            <w:tcBorders>
              <w:top w:val="nil"/>
              <w:left w:val="nil"/>
              <w:bottom w:val="single" w:color="auto" w:sz="4" w:space="0"/>
              <w:right w:val="single" w:color="auto" w:sz="4" w:space="0"/>
              <w:tl2br w:val="nil"/>
              <w:tr2bl w:val="nil"/>
            </w:tcBorders>
            <w:noWrap w:val="0"/>
            <w:vAlign w:val="center"/>
          </w:tcPr>
          <w:p w14:paraId="3848C2D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《网络食品安全违法行为查处办法》第三十八条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《食品经营许可和备案管理办法》第五十二条第三款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一）主体业态、经营项目发生变化，但食品安全风险等级未升高的；（二）增加经营项目类型，但增加的经营项目所需的经营条件被已经取得许可的经营项目涵盖的；（三）违法行为轻微，未对消费者人身健康和生命安全等造成危害后果的；（四）法律、法规、规章规定的其他情形。 </w:t>
            </w:r>
          </w:p>
        </w:tc>
      </w:tr>
      <w:tr w14:paraId="1116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FC2FA1">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5CE85D04">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24</w:t>
            </w:r>
          </w:p>
        </w:tc>
        <w:tc>
          <w:tcPr>
            <w:tcW w:w="1705" w:type="dxa"/>
            <w:tcBorders>
              <w:top w:val="nil"/>
              <w:left w:val="nil"/>
              <w:bottom w:val="single" w:color="auto" w:sz="4" w:space="0"/>
              <w:right w:val="single" w:color="auto" w:sz="4" w:space="0"/>
              <w:tl2br w:val="nil"/>
              <w:tr2bl w:val="nil"/>
            </w:tcBorders>
            <w:noWrap w:val="0"/>
            <w:vAlign w:val="center"/>
          </w:tcPr>
          <w:p w14:paraId="4D6AAA15">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未经许可生产少量食品</w:t>
            </w:r>
          </w:p>
        </w:tc>
        <w:tc>
          <w:tcPr>
            <w:tcW w:w="2480" w:type="dxa"/>
            <w:tcBorders>
              <w:top w:val="nil"/>
              <w:left w:val="nil"/>
              <w:bottom w:val="single" w:color="auto" w:sz="4" w:space="0"/>
              <w:right w:val="single" w:color="auto" w:sz="4" w:space="0"/>
              <w:tl2br w:val="nil"/>
              <w:tr2bl w:val="nil"/>
            </w:tcBorders>
            <w:noWrap w:val="0"/>
            <w:vAlign w:val="center"/>
          </w:tcPr>
          <w:p w14:paraId="7EF41021">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8D7C9A5">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17E080D6">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3B4C4713">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案涉食品货值金额较小；</w:t>
            </w:r>
          </w:p>
          <w:p w14:paraId="7C6CACD6">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食品原料来源合法；</w:t>
            </w:r>
          </w:p>
          <w:p w14:paraId="71DA4DE8">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所生产的食品安全风险较低；         </w:t>
            </w:r>
          </w:p>
          <w:p w14:paraId="4E3FD493">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1A697DA0">
            <w:pPr>
              <w:widowControl/>
              <w:spacing w:beforeLines="0" w:afterLines="0" w:line="320" w:lineRule="exact"/>
              <w:jc w:val="left"/>
              <w:rPr>
                <w:rFonts w:hint="default" w:ascii="Times New Roman" w:hAnsi="Times New Roman" w:eastAsia="方正仿宋_GBK"/>
                <w:b/>
                <w:kern w:val="0"/>
                <w:sz w:val="21"/>
                <w:szCs w:val="24"/>
              </w:rPr>
            </w:pPr>
          </w:p>
          <w:p w14:paraId="333E6B56">
            <w:pPr>
              <w:widowControl/>
              <w:spacing w:beforeLines="0" w:afterLines="0" w:line="32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《食品安全法》第三十五条第一款  </w:t>
            </w:r>
            <w:r>
              <w:rPr>
                <w:rFonts w:hint="eastAsia" w:ascii="Times New Roman" w:hAnsi="Times New Roman" w:eastAsia="方正仿宋_GBK"/>
                <w:kern w:val="0"/>
                <w:sz w:val="21"/>
                <w:szCs w:val="24"/>
              </w:rPr>
              <w:t>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default" w:ascii="Times New Roman" w:hAnsi="Times New Roman" w:eastAsia="方正仿宋_GBK"/>
                <w:b/>
                <w:kern w:val="0"/>
                <w:sz w:val="21"/>
                <w:szCs w:val="24"/>
              </w:rPr>
              <w:t xml:space="preserve"> </w:t>
            </w:r>
          </w:p>
          <w:p w14:paraId="1F878F32">
            <w:pPr>
              <w:widowControl/>
              <w:spacing w:beforeLines="0" w:afterLines="0" w:line="32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《食品生产许可管理办法》第四十九条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未取得食品生产许可从事食品生产活动的，由县级以上地方市场监督管理部门依照《中华人民共和国食品安全法》第一百二十二条的规定给予处罚。</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食品生产者生产的食品不属于食品生产许可证上载明的食品类别的，视为未取得食品生产许可从事食品生产活动。</w:t>
            </w:r>
          </w:p>
        </w:tc>
        <w:tc>
          <w:tcPr>
            <w:tcW w:w="4747" w:type="dxa"/>
            <w:tcBorders>
              <w:top w:val="nil"/>
              <w:left w:val="nil"/>
              <w:bottom w:val="single" w:color="auto" w:sz="4" w:space="0"/>
              <w:right w:val="single" w:color="auto" w:sz="4" w:space="0"/>
              <w:tl2br w:val="nil"/>
              <w:tr2bl w:val="nil"/>
            </w:tcBorders>
            <w:noWrap w:val="0"/>
            <w:vAlign w:val="center"/>
          </w:tcPr>
          <w:p w14:paraId="3D466870">
            <w:pPr>
              <w:widowControl/>
              <w:spacing w:beforeLines="0" w:afterLines="0" w:line="32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《食品安全法》第一百二十二条第一款 </w:t>
            </w:r>
            <w:r>
              <w:rPr>
                <w:rFonts w:hint="eastAsia" w:ascii="Times New Roman" w:hAnsi="Times New Roman" w:eastAsia="方正仿宋_GBK"/>
                <w:kern w:val="0"/>
                <w:sz w:val="21"/>
                <w:szCs w:val="24"/>
              </w:rPr>
              <w:t>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 货值金额一万元以上的，并处货值金额十倍以上二十倍以下罚款。</w:t>
            </w:r>
          </w:p>
        </w:tc>
      </w:tr>
      <w:tr w14:paraId="125E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031AFA">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1F767DF">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25</w:t>
            </w:r>
          </w:p>
        </w:tc>
        <w:tc>
          <w:tcPr>
            <w:tcW w:w="1705" w:type="dxa"/>
            <w:tcBorders>
              <w:top w:val="nil"/>
              <w:left w:val="nil"/>
              <w:bottom w:val="single" w:color="auto" w:sz="4" w:space="0"/>
              <w:right w:val="single" w:color="auto" w:sz="4" w:space="0"/>
              <w:tl2br w:val="nil"/>
              <w:tr2bl w:val="nil"/>
            </w:tcBorders>
            <w:noWrap w:val="0"/>
            <w:vAlign w:val="center"/>
          </w:tcPr>
          <w:p w14:paraId="12F1D33B">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生产经营标签、说明书不符合规定的食品、食品添加剂</w:t>
            </w:r>
          </w:p>
        </w:tc>
        <w:tc>
          <w:tcPr>
            <w:tcW w:w="2480" w:type="dxa"/>
            <w:tcBorders>
              <w:top w:val="nil"/>
              <w:left w:val="nil"/>
              <w:bottom w:val="single" w:color="auto" w:sz="4" w:space="0"/>
              <w:right w:val="single" w:color="auto" w:sz="4" w:space="0"/>
              <w:tl2br w:val="nil"/>
              <w:tr2bl w:val="nil"/>
            </w:tcBorders>
            <w:noWrap w:val="0"/>
            <w:vAlign w:val="center"/>
          </w:tcPr>
          <w:p w14:paraId="31F7EB91">
            <w:pPr>
              <w:widowControl/>
              <w:spacing w:beforeLines="0" w:afterLines="0" w:line="320" w:lineRule="exact"/>
              <w:jc w:val="left"/>
              <w:rPr>
                <w:rFonts w:hint="default" w:ascii="Times New Roman" w:hAnsi="Times New Roman" w:eastAsia="方正仿宋_GBK"/>
                <w:kern w:val="0"/>
                <w:sz w:val="21"/>
                <w:szCs w:val="24"/>
              </w:rPr>
            </w:pPr>
          </w:p>
          <w:p w14:paraId="48445266">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6DDE6A78">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违法行为持续时间较短；</w:t>
            </w:r>
          </w:p>
          <w:p w14:paraId="3B0F4EBB">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货值金额较小；</w:t>
            </w:r>
          </w:p>
          <w:p w14:paraId="2B60AFD0">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经营者能说明食品、食品添加剂合法来源；</w:t>
            </w:r>
          </w:p>
          <w:p w14:paraId="406B27DB">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未造成食源性疾病；</w:t>
            </w:r>
          </w:p>
          <w:p w14:paraId="1DAE4B7D">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0641E909">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《食品安全法》第六十七条第一、二款</w:t>
            </w:r>
            <w:r>
              <w:rPr>
                <w:rFonts w:hint="eastAsia" w:ascii="Times New Roman" w:hAnsi="Times New Roman" w:eastAsia="方正仿宋_GBK"/>
                <w:kern w:val="0"/>
                <w:sz w:val="21"/>
                <w:szCs w:val="24"/>
              </w:rPr>
              <w:t xml:space="preserve">　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           </w:t>
            </w:r>
          </w:p>
          <w:p w14:paraId="4AC21F92">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专供婴幼儿和其他特定人群的主辅食品，其标签还应当标明主要营养成分及其含量。                     </w:t>
            </w:r>
          </w:p>
          <w:p w14:paraId="0BE8AD7F">
            <w:pPr>
              <w:widowControl/>
              <w:spacing w:beforeLines="0" w:afterLines="0" w:line="300" w:lineRule="exact"/>
              <w:rPr>
                <w:rFonts w:hint="default" w:ascii="Times New Roman" w:hAnsi="Times New Roman" w:eastAsia="方正仿宋_GBK"/>
                <w:kern w:val="0"/>
                <w:sz w:val="24"/>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第七十一条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食品和食品添加剂的标签、说明书，不得含有虚假内容，不得涉及疾病预防、治疗功能。生产经营者对其提供的标签、说明书的内容负责。</w:t>
            </w:r>
          </w:p>
          <w:p w14:paraId="2C9E37C9">
            <w:pPr>
              <w:widowControl/>
              <w:spacing w:beforeLines="0" w:afterLines="0" w:line="26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食品和食品添加剂的标签、说明书应当清楚、明显，生产日期、保质期等事项应当显著标注，容易辨识。</w:t>
            </w:r>
          </w:p>
          <w:p w14:paraId="3AE5D706">
            <w:pPr>
              <w:widowControl/>
              <w:spacing w:beforeLines="0" w:afterLines="0" w:line="26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食品和食品添加剂与其标签、说明书的内容不符的，不得上市销售。</w:t>
            </w:r>
          </w:p>
          <w:p w14:paraId="2F48F858">
            <w:pPr>
              <w:widowControl/>
              <w:spacing w:beforeLines="0" w:afterLines="0" w:line="26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第七十条、第七十八条、第九十七条</w:t>
            </w:r>
            <w:r>
              <w:rPr>
                <w:rFonts w:hint="eastAsia" w:ascii="Times New Roman" w:hAnsi="Times New Roman" w:eastAsia="方正仿宋_GBK"/>
                <w:kern w:val="0"/>
                <w:sz w:val="21"/>
                <w:szCs w:val="24"/>
              </w:rPr>
              <w:t>。（略）</w:t>
            </w:r>
          </w:p>
        </w:tc>
        <w:tc>
          <w:tcPr>
            <w:tcW w:w="4747" w:type="dxa"/>
            <w:tcBorders>
              <w:top w:val="nil"/>
              <w:left w:val="nil"/>
              <w:bottom w:val="single" w:color="auto" w:sz="4" w:space="0"/>
              <w:right w:val="single" w:color="auto" w:sz="4" w:space="0"/>
              <w:tl2br w:val="nil"/>
              <w:tr2bl w:val="nil"/>
            </w:tcBorders>
            <w:noWrap w:val="0"/>
            <w:vAlign w:val="center"/>
          </w:tcPr>
          <w:p w14:paraId="7C867665">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《食品安全法》第一百二十五条第一款第二项</w:t>
            </w:r>
            <w:r>
              <w:rPr>
                <w:rFonts w:hint="eastAsia" w:ascii="Times New Roman" w:hAnsi="Times New Roman" w:eastAsia="方正仿宋_GBK"/>
                <w:kern w:val="0"/>
                <w:sz w:val="21"/>
                <w:szCs w:val="24"/>
              </w:rPr>
              <w:t>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tc>
      </w:tr>
      <w:tr w14:paraId="5354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2363AE">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6E786524">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26</w:t>
            </w:r>
          </w:p>
        </w:tc>
        <w:tc>
          <w:tcPr>
            <w:tcW w:w="1705" w:type="dxa"/>
            <w:tcBorders>
              <w:top w:val="nil"/>
              <w:left w:val="nil"/>
              <w:bottom w:val="single" w:color="auto" w:sz="4" w:space="0"/>
              <w:right w:val="single" w:color="auto" w:sz="4" w:space="0"/>
              <w:tl2br w:val="nil"/>
              <w:tr2bl w:val="nil"/>
            </w:tcBorders>
            <w:noWrap w:val="0"/>
            <w:vAlign w:val="center"/>
          </w:tcPr>
          <w:p w14:paraId="2827D22F">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未经许可从事餐饮服务</w:t>
            </w:r>
          </w:p>
        </w:tc>
        <w:tc>
          <w:tcPr>
            <w:tcW w:w="2480" w:type="dxa"/>
            <w:tcBorders>
              <w:top w:val="nil"/>
              <w:left w:val="nil"/>
              <w:bottom w:val="single" w:color="auto" w:sz="4" w:space="0"/>
              <w:right w:val="single" w:color="auto" w:sz="4" w:space="0"/>
              <w:tl2br w:val="nil"/>
              <w:tr2bl w:val="nil"/>
            </w:tcBorders>
            <w:noWrap w:val="0"/>
            <w:vAlign w:val="center"/>
          </w:tcPr>
          <w:p w14:paraId="1A7FC92C">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对小餐饮以外的餐饮服务提供者减轻处罚，应当同时具备以下条件：</w:t>
            </w:r>
          </w:p>
          <w:p w14:paraId="25466460">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342CA678">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p>
          <w:p w14:paraId="63259C4B">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经营规模较小；</w:t>
            </w:r>
          </w:p>
          <w:p w14:paraId="3B526EC9">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食品原料来源合法；</w:t>
            </w:r>
          </w:p>
          <w:p w14:paraId="04071B7F">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使用的食品原料和加工的食品安全风险等级较低；            </w:t>
            </w:r>
          </w:p>
          <w:p w14:paraId="5E3FD596">
            <w:pPr>
              <w:keepNext w:val="0"/>
              <w:keepLines w:val="0"/>
              <w:pageBreakBefore w:val="0"/>
              <w:widowControl/>
              <w:kinsoku/>
              <w:wordWrap/>
              <w:overflowPunct/>
              <w:topLinePunct w:val="0"/>
              <w:autoSpaceDE/>
              <w:autoSpaceDN/>
              <w:bidi w:val="0"/>
              <w:adjustRightInd w:val="0"/>
              <w:snapToGrid w:val="0"/>
              <w:spacing w:beforeLines="0" w:afterLines="0" w:line="28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0F77127E">
            <w:pPr>
              <w:widowControl/>
              <w:spacing w:beforeLines="0" w:afterLines="0" w:line="30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《食品安全法》第三十五条第一款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w:t>
            </w:r>
          </w:p>
        </w:tc>
        <w:tc>
          <w:tcPr>
            <w:tcW w:w="4747" w:type="dxa"/>
            <w:tcBorders>
              <w:top w:val="nil"/>
              <w:left w:val="nil"/>
              <w:bottom w:val="single" w:color="auto" w:sz="4" w:space="0"/>
              <w:right w:val="single" w:color="auto" w:sz="4" w:space="0"/>
              <w:tl2br w:val="nil"/>
              <w:tr2bl w:val="nil"/>
            </w:tcBorders>
            <w:noWrap w:val="0"/>
            <w:vAlign w:val="center"/>
          </w:tcPr>
          <w:p w14:paraId="10CAB48D">
            <w:pPr>
              <w:widowControl/>
              <w:spacing w:beforeLines="0" w:afterLines="0" w:line="280" w:lineRule="exact"/>
              <w:jc w:val="left"/>
              <w:rPr>
                <w:rFonts w:hint="default" w:ascii="Times New Roman" w:hAnsi="Times New Roman" w:eastAsia="方正仿宋_GBK"/>
                <w:kern w:val="24"/>
                <w:sz w:val="21"/>
                <w:szCs w:val="24"/>
              </w:rPr>
            </w:pPr>
            <w:r>
              <w:rPr>
                <w:rFonts w:hint="eastAsia" w:ascii="Times New Roman" w:hAnsi="Times New Roman" w:eastAsia="方正仿宋_GBK"/>
                <w:b/>
                <w:kern w:val="24"/>
                <w:sz w:val="21"/>
                <w:szCs w:val="24"/>
              </w:rPr>
              <w:t>《食品安全法》第一百二十二条</w:t>
            </w:r>
            <w:r>
              <w:rPr>
                <w:rFonts w:hint="eastAsia" w:ascii="Times New Roman" w:hAnsi="Times New Roman" w:eastAsia="方正仿宋_GBK"/>
                <w:b/>
                <w:kern w:val="0"/>
                <w:sz w:val="21"/>
                <w:szCs w:val="24"/>
              </w:rPr>
              <w:t>第一款</w:t>
            </w:r>
            <w:r>
              <w:rPr>
                <w:rFonts w:hint="eastAsia" w:ascii="Times New Roman" w:hAnsi="Times New Roman" w:eastAsia="方正仿宋_GBK"/>
                <w:kern w:val="24"/>
                <w:sz w:val="21"/>
                <w:szCs w:val="24"/>
              </w:rPr>
              <w:t>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14:paraId="7E89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EE92FE">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61388E9B">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27</w:t>
            </w:r>
          </w:p>
        </w:tc>
        <w:tc>
          <w:tcPr>
            <w:tcW w:w="1705" w:type="dxa"/>
            <w:tcBorders>
              <w:top w:val="nil"/>
              <w:left w:val="nil"/>
              <w:bottom w:val="single" w:color="auto" w:sz="4" w:space="0"/>
              <w:right w:val="single" w:color="auto" w:sz="4" w:space="0"/>
              <w:tl2br w:val="nil"/>
              <w:tr2bl w:val="nil"/>
            </w:tcBorders>
            <w:noWrap w:val="0"/>
            <w:vAlign w:val="center"/>
          </w:tcPr>
          <w:p w14:paraId="020DBBA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餐饮业经营者经营添加未列入药食同源目录的中药材的食品</w:t>
            </w:r>
          </w:p>
        </w:tc>
        <w:tc>
          <w:tcPr>
            <w:tcW w:w="2480" w:type="dxa"/>
            <w:tcBorders>
              <w:top w:val="nil"/>
              <w:left w:val="nil"/>
              <w:bottom w:val="single" w:color="auto" w:sz="4" w:space="0"/>
              <w:right w:val="single" w:color="auto" w:sz="4" w:space="0"/>
              <w:tl2br w:val="nil"/>
              <w:tr2bl w:val="nil"/>
            </w:tcBorders>
            <w:noWrap w:val="0"/>
            <w:vAlign w:val="center"/>
          </w:tcPr>
          <w:p w14:paraId="14BB6EFB">
            <w:pPr>
              <w:widowControl/>
              <w:spacing w:beforeLines="0" w:afterLines="0" w:line="300" w:lineRule="exact"/>
              <w:rPr>
                <w:rFonts w:hint="default" w:ascii="Times New Roman" w:hAnsi="Times New Roman" w:eastAsia="方正仿宋_GBK"/>
                <w:sz w:val="21"/>
                <w:szCs w:val="24"/>
              </w:rPr>
            </w:pPr>
            <w:r>
              <w:rPr>
                <w:rFonts w:hint="eastAsia" w:ascii="Times New Roman" w:hAnsi="Times New Roman" w:eastAsia="方正仿宋_GBK"/>
                <w:sz w:val="21"/>
                <w:szCs w:val="24"/>
              </w:rPr>
              <w:t>同时具备以下条件：</w:t>
            </w:r>
          </w:p>
          <w:p w14:paraId="257EC676">
            <w:pPr>
              <w:widowControl/>
              <w:spacing w:beforeLines="0" w:afterLines="0" w:line="300" w:lineRule="exact"/>
              <w:rPr>
                <w:rFonts w:hint="default" w:ascii="Times New Roman" w:hAnsi="Times New Roman" w:eastAsia="方正仿宋_GBK"/>
                <w:sz w:val="21"/>
                <w:szCs w:val="24"/>
              </w:rPr>
            </w:pPr>
            <w:r>
              <w:rPr>
                <w:rFonts w:hint="default" w:ascii="Times New Roman" w:hAnsi="Times New Roman" w:eastAsia="方正仿宋_GBK"/>
                <w:sz w:val="21"/>
                <w:szCs w:val="24"/>
              </w:rPr>
              <w:t>1.</w:t>
            </w:r>
            <w:r>
              <w:rPr>
                <w:rFonts w:hint="eastAsia" w:ascii="Times New Roman" w:hAnsi="Times New Roman" w:eastAsia="方正仿宋_GBK"/>
                <w:sz w:val="21"/>
                <w:szCs w:val="24"/>
              </w:rPr>
              <w:t>初次违法；</w:t>
            </w:r>
          </w:p>
          <w:p w14:paraId="3D83211B">
            <w:pPr>
              <w:widowControl/>
              <w:spacing w:beforeLines="0" w:afterLines="0" w:line="300" w:lineRule="exact"/>
              <w:rPr>
                <w:rFonts w:hint="default" w:ascii="Times New Roman" w:hAnsi="Times New Roman" w:eastAsia="方正仿宋_GBK"/>
                <w:sz w:val="21"/>
                <w:szCs w:val="24"/>
              </w:rPr>
            </w:pPr>
            <w:r>
              <w:rPr>
                <w:rFonts w:hint="default" w:ascii="Times New Roman" w:hAnsi="Times New Roman" w:eastAsia="方正仿宋_GBK"/>
                <w:sz w:val="21"/>
                <w:szCs w:val="24"/>
              </w:rPr>
              <w:t>2.</w:t>
            </w:r>
            <w:r>
              <w:rPr>
                <w:rFonts w:hint="eastAsia" w:ascii="Times New Roman" w:hAnsi="Times New Roman" w:eastAsia="方正仿宋_GBK"/>
                <w:sz w:val="21"/>
                <w:szCs w:val="24"/>
              </w:rPr>
              <w:t>有食用该中药材的传统习惯且未造成人身损害；</w:t>
            </w:r>
          </w:p>
          <w:p w14:paraId="2032134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sz w:val="21"/>
                <w:szCs w:val="24"/>
              </w:rPr>
              <w:t>3.</w:t>
            </w:r>
            <w:r>
              <w:rPr>
                <w:rFonts w:hint="eastAsia" w:ascii="Times New Roman" w:hAnsi="Times New Roman" w:eastAsia="方正仿宋_GBK"/>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27945F5E">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《食品安全法》第三十八条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生产经营的食品中不得添加药品，但是可以添加按照传统既是食品又是中药材的物质。按照传统既是食品又是中药材的物质目录由国务院卫生行政部门会同国务院食品药品监督管理部门制定、公布。</w:t>
            </w:r>
          </w:p>
        </w:tc>
        <w:tc>
          <w:tcPr>
            <w:tcW w:w="4747" w:type="dxa"/>
            <w:tcBorders>
              <w:top w:val="nil"/>
              <w:left w:val="nil"/>
              <w:bottom w:val="single" w:color="auto" w:sz="4" w:space="0"/>
              <w:right w:val="single" w:color="auto" w:sz="4" w:space="0"/>
              <w:tl2br w:val="nil"/>
              <w:tr2bl w:val="nil"/>
            </w:tcBorders>
            <w:noWrap w:val="0"/>
            <w:vAlign w:val="center"/>
          </w:tcPr>
          <w:p w14:paraId="32DC5FB2">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《食品安全法》第一百二十三条第一款第六项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tc>
      </w:tr>
      <w:tr w14:paraId="5BBA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9FABB5">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161578C">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28</w:t>
            </w:r>
          </w:p>
        </w:tc>
        <w:tc>
          <w:tcPr>
            <w:tcW w:w="1705" w:type="dxa"/>
            <w:tcBorders>
              <w:top w:val="nil"/>
              <w:left w:val="nil"/>
              <w:bottom w:val="single" w:color="auto" w:sz="4" w:space="0"/>
              <w:right w:val="single" w:color="auto" w:sz="4" w:space="0"/>
              <w:tl2br w:val="nil"/>
              <w:tr2bl w:val="nil"/>
            </w:tcBorders>
            <w:noWrap w:val="0"/>
            <w:vAlign w:val="center"/>
          </w:tcPr>
          <w:p w14:paraId="553F40A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餐饮业经营者采购或使用不符合食品安全标准的食品原料、食品添加剂</w:t>
            </w:r>
          </w:p>
        </w:tc>
        <w:tc>
          <w:tcPr>
            <w:tcW w:w="2480" w:type="dxa"/>
            <w:tcBorders>
              <w:top w:val="nil"/>
              <w:left w:val="nil"/>
              <w:bottom w:val="single" w:color="auto" w:sz="4" w:space="0"/>
              <w:right w:val="single" w:color="auto" w:sz="4" w:space="0"/>
              <w:tl2br w:val="nil"/>
              <w:tr2bl w:val="nil"/>
            </w:tcBorders>
            <w:noWrap w:val="0"/>
            <w:vAlign w:val="center"/>
          </w:tcPr>
          <w:p w14:paraId="47DCE0A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案涉食品原料、食品添加剂来源合法；</w:t>
            </w:r>
          </w:p>
          <w:p w14:paraId="62C4B3A9">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案涉食品原料、食品添加剂数量较少，或者货值金额较小；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未造成食源性疾病；</w:t>
            </w:r>
          </w:p>
          <w:p w14:paraId="06DAEDC0">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26869739">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《食品安全法》第五十五条第一款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餐饮服务提供者应该制定并实施原料控制要求，不得采购不符合食品安全标准的食品原料。倡导餐饮服务提供者公开加工过程，公示食品原料及其来源信息。</w:t>
            </w:r>
          </w:p>
        </w:tc>
        <w:tc>
          <w:tcPr>
            <w:tcW w:w="4747" w:type="dxa"/>
            <w:tcBorders>
              <w:top w:val="nil"/>
              <w:left w:val="nil"/>
              <w:bottom w:val="single" w:color="auto" w:sz="4" w:space="0"/>
              <w:right w:val="single" w:color="auto" w:sz="4" w:space="0"/>
              <w:tl2br w:val="nil"/>
              <w:tr2bl w:val="nil"/>
            </w:tcBorders>
            <w:noWrap w:val="0"/>
            <w:vAlign w:val="center"/>
          </w:tcPr>
          <w:p w14:paraId="208E67A4">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《食品安全法》第一百二十五条第一款第四项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p>
        </w:tc>
      </w:tr>
      <w:tr w14:paraId="40E1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9A5D3C4">
            <w:pPr>
              <w:widowControl/>
              <w:adjustRightInd w:val="0"/>
              <w:spacing w:beforeLines="0" w:afterLines="0" w:line="320" w:lineRule="exact"/>
              <w:rPr>
                <w:rFonts w:hint="default" w:ascii="Times New Roman" w:hAnsi="Times New Roman" w:eastAsia="方正黑体_GBK"/>
                <w:kern w:val="0"/>
                <w:sz w:val="21"/>
                <w:szCs w:val="24"/>
              </w:rPr>
            </w:pPr>
            <w:r>
              <w:rPr>
                <w:rFonts w:hint="eastAsia" w:ascii="Times New Roman" w:hAnsi="Times New Roman" w:eastAsia="方正黑体_GBK"/>
                <w:snapToGrid w:val="0"/>
                <w:kern w:val="0"/>
                <w:sz w:val="24"/>
                <w:szCs w:val="24"/>
              </w:rPr>
              <w:t>产品质量、标识</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08617">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29</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3B0A0">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销售不符合国家标准、行业标准的产品</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6ECB9">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4F8DB03C">
            <w:pPr>
              <w:widowControl/>
              <w:spacing w:beforeLines="0" w:afterLines="0" w:line="260" w:lineRule="exact"/>
              <w:jc w:val="left"/>
              <w:rPr>
                <w:rFonts w:hint="default" w:ascii="Times New Roman" w:hAnsi="Times New Roman" w:eastAsia="方正仿宋_GBK"/>
                <w:kern w:val="0"/>
                <w:sz w:val="24"/>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不知道销售的商品不符合国家标准、行业标准，并如实说明进货来源；</w:t>
            </w:r>
          </w:p>
          <w:p w14:paraId="71355354">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及时停止销售；</w:t>
            </w:r>
          </w:p>
          <w:p w14:paraId="03F76434">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未造成健康损害、人身伤亡、重大财产损失。</w:t>
            </w:r>
          </w:p>
        </w:tc>
        <w:tc>
          <w:tcPr>
            <w:tcW w:w="4800" w:type="dxa"/>
            <w:tcBorders>
              <w:top w:val="nil"/>
              <w:left w:val="nil"/>
              <w:bottom w:val="single" w:color="auto" w:sz="4" w:space="0"/>
              <w:right w:val="single" w:color="auto" w:sz="4" w:space="0"/>
              <w:tl2br w:val="nil"/>
              <w:tr2bl w:val="nil"/>
            </w:tcBorders>
            <w:noWrap w:val="0"/>
            <w:vAlign w:val="center"/>
          </w:tcPr>
          <w:p w14:paraId="47528F8E">
            <w:pPr>
              <w:widowControl/>
              <w:spacing w:beforeLines="0" w:afterLines="0" w:line="24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《产品质量法》第二十六条第二款第一项  </w:t>
            </w:r>
            <w:r>
              <w:rPr>
                <w:rFonts w:hint="eastAsia" w:ascii="Times New Roman" w:hAnsi="Times New Roman" w:eastAsia="方正仿宋_GBK"/>
                <w:kern w:val="0"/>
                <w:sz w:val="21"/>
                <w:szCs w:val="24"/>
              </w:rPr>
              <w:t>产品质量应当符合下列要求：(一)不存在危及人身、财产安全的不合理的危险，有保障人体健康和人身、财产安全的国家标准、行业标准的，应当符合该标准；</w:t>
            </w:r>
          </w:p>
          <w:p w14:paraId="0AE73294">
            <w:pPr>
              <w:widowControl/>
              <w:spacing w:beforeLines="0" w:afterLines="0" w:line="24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第三十四条</w:t>
            </w:r>
            <w:r>
              <w:rPr>
                <w:rFonts w:hint="eastAsia" w:ascii="Times New Roman" w:hAnsi="Times New Roman" w:eastAsia="方正仿宋_GBK"/>
                <w:kern w:val="0"/>
                <w:sz w:val="21"/>
                <w:szCs w:val="24"/>
              </w:rPr>
              <w:t>　销售者应当采取措施，保持销售产品的质量。</w:t>
            </w:r>
          </w:p>
        </w:tc>
        <w:tc>
          <w:tcPr>
            <w:tcW w:w="4747" w:type="dxa"/>
            <w:tcBorders>
              <w:top w:val="nil"/>
              <w:left w:val="nil"/>
              <w:bottom w:val="single" w:color="auto" w:sz="4" w:space="0"/>
              <w:right w:val="single" w:color="auto" w:sz="4" w:space="0"/>
              <w:tl2br w:val="nil"/>
              <w:tr2bl w:val="nil"/>
            </w:tcBorders>
            <w:noWrap w:val="0"/>
            <w:vAlign w:val="center"/>
          </w:tcPr>
          <w:p w14:paraId="25B1C5D2">
            <w:pPr>
              <w:widowControl/>
              <w:spacing w:beforeLines="0" w:afterLines="0" w:line="24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《产品质量法》第四十九条  </w:t>
            </w:r>
            <w:r>
              <w:rPr>
                <w:rFonts w:hint="eastAsia" w:ascii="Times New Roman" w:hAnsi="Times New Roman" w:eastAsia="方正仿宋_GBK"/>
                <w:kern w:val="0"/>
                <w:sz w:val="21"/>
                <w:szCs w:val="24"/>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 xml:space="preserve">第五十五条  </w:t>
            </w:r>
            <w:r>
              <w:rPr>
                <w:rFonts w:hint="eastAsia" w:ascii="Times New Roman" w:hAnsi="Times New Roman" w:eastAsia="方正仿宋_GBK"/>
                <w:kern w:val="0"/>
                <w:sz w:val="21"/>
                <w:szCs w:val="24"/>
              </w:rPr>
              <w:t>销售者销售本法第四十九条至第五十三条规定禁止销售的产品，有充分证据证明其不知道该产品为禁止销售的产品并如实说明其进货来源的，可以从轻或者减轻处罚。</w:t>
            </w:r>
          </w:p>
        </w:tc>
      </w:tr>
      <w:tr w14:paraId="76A8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6F3F34">
            <w:pPr>
              <w:widowControl/>
              <w:spacing w:beforeLines="0" w:afterLines="0" w:line="320" w:lineRule="exact"/>
              <w:rPr>
                <w:rFonts w:hint="default" w:ascii="Times New Roman" w:hAnsi="Times New Roman" w:eastAsia="方正黑体_GBK"/>
                <w:kern w:val="0"/>
                <w:sz w:val="21"/>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CD771">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30</w:t>
            </w:r>
          </w:p>
        </w:tc>
        <w:tc>
          <w:tcPr>
            <w:tcW w:w="1705" w:type="dxa"/>
            <w:tcBorders>
              <w:top w:val="single" w:color="auto" w:sz="4" w:space="0"/>
              <w:left w:val="nil"/>
              <w:bottom w:val="single" w:color="auto" w:sz="4" w:space="0"/>
              <w:right w:val="single" w:color="auto" w:sz="4" w:space="0"/>
              <w:tl2br w:val="nil"/>
              <w:tr2bl w:val="nil"/>
            </w:tcBorders>
            <w:noWrap w:val="0"/>
            <w:vAlign w:val="center"/>
          </w:tcPr>
          <w:p w14:paraId="343B6696">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销售掺杂、掺假，以假充真，以次充好，或者以不合格冒充合格的产品</w:t>
            </w:r>
          </w:p>
        </w:tc>
        <w:tc>
          <w:tcPr>
            <w:tcW w:w="2480" w:type="dxa"/>
            <w:tcBorders>
              <w:top w:val="single" w:color="auto" w:sz="4" w:space="0"/>
              <w:left w:val="nil"/>
              <w:bottom w:val="single" w:color="auto" w:sz="4" w:space="0"/>
              <w:right w:val="single" w:color="auto" w:sz="4" w:space="0"/>
              <w:tl2br w:val="nil"/>
              <w:tr2bl w:val="nil"/>
            </w:tcBorders>
            <w:noWrap w:val="0"/>
            <w:vAlign w:val="center"/>
          </w:tcPr>
          <w:p w14:paraId="1C0004F8">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不知道销售的产品掺杂、掺假，以假充真，以次充好，或者以不合格冒充合格，并如实说明进货来源；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及时停止销售；</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未造成健康损害、人身伤亡、重大财产损失。</w:t>
            </w:r>
          </w:p>
        </w:tc>
        <w:tc>
          <w:tcPr>
            <w:tcW w:w="4800" w:type="dxa"/>
            <w:tcBorders>
              <w:top w:val="nil"/>
              <w:left w:val="nil"/>
              <w:bottom w:val="single" w:color="auto" w:sz="4" w:space="0"/>
              <w:right w:val="single" w:color="auto" w:sz="4" w:space="0"/>
              <w:tl2br w:val="nil"/>
              <w:tr2bl w:val="nil"/>
            </w:tcBorders>
            <w:noWrap w:val="0"/>
            <w:vAlign w:val="center"/>
          </w:tcPr>
          <w:p w14:paraId="59E147CB">
            <w:pPr>
              <w:widowControl/>
              <w:spacing w:beforeLines="0" w:afterLines="0" w:line="24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《产品质量法》第三十九条 </w:t>
            </w:r>
            <w:r>
              <w:rPr>
                <w:rFonts w:hint="eastAsia" w:ascii="Times New Roman" w:hAnsi="Times New Roman" w:eastAsia="方正仿宋_GBK"/>
                <w:kern w:val="0"/>
                <w:sz w:val="21"/>
                <w:szCs w:val="24"/>
              </w:rPr>
              <w:t>销售者销售产品，不得掺杂、掺假，不得以假充真、以次充好，不得以不合格产品冒充合格产品。</w:t>
            </w:r>
          </w:p>
        </w:tc>
        <w:tc>
          <w:tcPr>
            <w:tcW w:w="4747" w:type="dxa"/>
            <w:tcBorders>
              <w:top w:val="nil"/>
              <w:left w:val="nil"/>
              <w:bottom w:val="single" w:color="auto" w:sz="4" w:space="0"/>
              <w:right w:val="single" w:color="auto" w:sz="4" w:space="0"/>
              <w:tl2br w:val="nil"/>
              <w:tr2bl w:val="nil"/>
            </w:tcBorders>
            <w:noWrap w:val="0"/>
            <w:vAlign w:val="center"/>
          </w:tcPr>
          <w:p w14:paraId="3655386D">
            <w:pPr>
              <w:widowControl/>
              <w:spacing w:beforeLines="0" w:afterLines="0" w:line="24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 xml:space="preserve">《产品质量法》第五十条  </w:t>
            </w:r>
            <w:r>
              <w:rPr>
                <w:rFonts w:hint="eastAsia" w:ascii="Times New Roman" w:hAnsi="Times New Roman" w:eastAsia="方正仿宋_GBK"/>
                <w:kern w:val="0"/>
                <w:sz w:val="21"/>
                <w:szCs w:val="24"/>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第五十五条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销售者销售本法第四十九条至第五十三条规定禁止销售的产品，有充分证据证明其不知道该产品为禁止销售的产品并如实说明其进货来源的，可以从轻或者减轻处罚。</w:t>
            </w:r>
          </w:p>
        </w:tc>
      </w:tr>
      <w:tr w14:paraId="5F15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5CAC23">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0722711C">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31</w:t>
            </w:r>
          </w:p>
        </w:tc>
        <w:tc>
          <w:tcPr>
            <w:tcW w:w="1705" w:type="dxa"/>
            <w:tcBorders>
              <w:top w:val="nil"/>
              <w:left w:val="nil"/>
              <w:bottom w:val="single" w:color="auto" w:sz="4" w:space="0"/>
              <w:right w:val="single" w:color="auto" w:sz="4" w:space="0"/>
              <w:tl2br w:val="nil"/>
              <w:tr2bl w:val="nil"/>
            </w:tcBorders>
            <w:noWrap w:val="0"/>
            <w:vAlign w:val="center"/>
          </w:tcPr>
          <w:p w14:paraId="51573F13">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销售或者在经营活动中使用未取得生产许可证的列入目录的产品</w:t>
            </w:r>
          </w:p>
        </w:tc>
        <w:tc>
          <w:tcPr>
            <w:tcW w:w="2480" w:type="dxa"/>
            <w:tcBorders>
              <w:top w:val="nil"/>
              <w:left w:val="nil"/>
              <w:bottom w:val="single" w:color="auto" w:sz="4" w:space="0"/>
              <w:right w:val="single" w:color="auto" w:sz="4" w:space="0"/>
              <w:tl2br w:val="nil"/>
              <w:tr2bl w:val="nil"/>
            </w:tcBorders>
            <w:noWrap w:val="0"/>
            <w:vAlign w:val="center"/>
          </w:tcPr>
          <w:p w14:paraId="484492D1">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不知道产品未取得生产许可证；</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及时停止销售或使用；</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未造成健康损害、人身伤亡、重大财产损失。</w:t>
            </w:r>
          </w:p>
        </w:tc>
        <w:tc>
          <w:tcPr>
            <w:tcW w:w="4800" w:type="dxa"/>
            <w:tcBorders>
              <w:top w:val="nil"/>
              <w:left w:val="nil"/>
              <w:bottom w:val="single" w:color="auto" w:sz="4" w:space="0"/>
              <w:right w:val="single" w:color="auto" w:sz="4" w:space="0"/>
              <w:tl2br w:val="nil"/>
              <w:tr2bl w:val="nil"/>
            </w:tcBorders>
            <w:noWrap w:val="0"/>
            <w:vAlign w:val="center"/>
          </w:tcPr>
          <w:p w14:paraId="7D4EA8B9">
            <w:pPr>
              <w:widowControl/>
              <w:spacing w:beforeLines="0" w:afterLines="0" w:line="24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《工业产品生产许可证管理条例》第五条</w:t>
            </w:r>
            <w:r>
              <w:rPr>
                <w:rFonts w:hint="eastAsia" w:ascii="Times New Roman" w:hAnsi="Times New Roman" w:eastAsia="方正仿宋_GBK"/>
                <w:kern w:val="0"/>
                <w:sz w:val="21"/>
                <w:szCs w:val="24"/>
              </w:rPr>
              <w:t>　任何企业未取得生产许可证不得生产列入目录的产品。任何单位和个人不得销售或者在经营活动中使用未取得生产许可证的列入目录的产品。</w:t>
            </w:r>
          </w:p>
        </w:tc>
        <w:tc>
          <w:tcPr>
            <w:tcW w:w="4747" w:type="dxa"/>
            <w:tcBorders>
              <w:top w:val="nil"/>
              <w:left w:val="nil"/>
              <w:bottom w:val="single" w:color="auto" w:sz="4" w:space="0"/>
              <w:right w:val="single" w:color="auto" w:sz="4" w:space="0"/>
              <w:tl2br w:val="nil"/>
              <w:tr2bl w:val="nil"/>
            </w:tcBorders>
            <w:noWrap w:val="0"/>
            <w:vAlign w:val="center"/>
          </w:tcPr>
          <w:p w14:paraId="0D50607B">
            <w:pPr>
              <w:widowControl/>
              <w:spacing w:beforeLines="0" w:afterLines="0" w:line="24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《工业产品生产许可证管理条例》第四十八条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销售或者在经营活动中使用未取得生产许可证的列入目录产品的，责令改正，处5万元以上20万元以下的罚款；有违法所得的，没收违法所得；构成犯罪的，依法追究刑事责任。</w:t>
            </w:r>
          </w:p>
        </w:tc>
      </w:tr>
      <w:tr w14:paraId="69B8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6F1918">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12287565">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32</w:t>
            </w:r>
          </w:p>
        </w:tc>
        <w:tc>
          <w:tcPr>
            <w:tcW w:w="1705" w:type="dxa"/>
            <w:tcBorders>
              <w:top w:val="nil"/>
              <w:left w:val="nil"/>
              <w:bottom w:val="single" w:color="auto" w:sz="4" w:space="0"/>
              <w:right w:val="single" w:color="auto" w:sz="4" w:space="0"/>
              <w:tl2br w:val="nil"/>
              <w:tr2bl w:val="nil"/>
            </w:tcBorders>
            <w:noWrap w:val="0"/>
            <w:vAlign w:val="center"/>
          </w:tcPr>
          <w:p w14:paraId="23F9D46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应当标注能源效率标识而未标注</w:t>
            </w:r>
          </w:p>
        </w:tc>
        <w:tc>
          <w:tcPr>
            <w:tcW w:w="2480" w:type="dxa"/>
            <w:tcBorders>
              <w:top w:val="nil"/>
              <w:left w:val="nil"/>
              <w:bottom w:val="single" w:color="auto" w:sz="4" w:space="0"/>
              <w:right w:val="single" w:color="auto" w:sz="4" w:space="0"/>
              <w:tl2br w:val="nil"/>
              <w:tr2bl w:val="nil"/>
            </w:tcBorders>
            <w:noWrap w:val="0"/>
            <w:vAlign w:val="center"/>
          </w:tcPr>
          <w:p w14:paraId="4CCC6566">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5DEBBCD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货值金额较小或者产品数量较少；</w:t>
            </w:r>
          </w:p>
          <w:p w14:paraId="5CEB6CFE">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对已售出产品采取召回措施或其他补救措施；</w:t>
            </w:r>
          </w:p>
          <w:p w14:paraId="25AFBA65">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1ED3E3E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《节约能源法》第十九条第一款</w:t>
            </w:r>
            <w:r>
              <w:rPr>
                <w:rFonts w:hint="eastAsia" w:ascii="Times New Roman" w:hAnsi="Times New Roman" w:eastAsia="方正仿宋_GBK"/>
                <w:kern w:val="0"/>
                <w:sz w:val="21"/>
                <w:szCs w:val="24"/>
              </w:rPr>
              <w:t>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　　</w:t>
            </w:r>
            <w:r>
              <w:rPr>
                <w:rFonts w:hint="eastAsia" w:ascii="Times New Roman" w:hAnsi="Times New Roman" w:eastAsia="方正仿宋_GBK"/>
                <w:b/>
                <w:kern w:val="0"/>
                <w:sz w:val="21"/>
                <w:szCs w:val="24"/>
              </w:rPr>
              <w:t xml:space="preserve">第十九条第二款  </w:t>
            </w:r>
            <w:r>
              <w:rPr>
                <w:rFonts w:hint="eastAsia" w:ascii="Times New Roman" w:hAnsi="Times New Roman" w:eastAsia="方正仿宋_GBK"/>
                <w:kern w:val="0"/>
                <w:sz w:val="21"/>
                <w:szCs w:val="24"/>
              </w:rPr>
              <w:t>生产者和进口商应当对其标注的能源效率标识及相关信息的准确性负责。禁止销售应当标注而未标注能源效率标识的产品。</w:t>
            </w:r>
            <w:r>
              <w:rPr>
                <w:rFonts w:hint="default" w:ascii="Times New Roman" w:hAnsi="Times New Roman" w:eastAsia="方正仿宋_GBK"/>
                <w:kern w:val="0"/>
                <w:sz w:val="21"/>
                <w:szCs w:val="24"/>
              </w:rPr>
              <w:br w:type="textWrapping"/>
            </w:r>
            <w:r>
              <w:rPr>
                <w:rFonts w:hint="eastAsia" w:ascii="Times New Roman" w:hAnsi="Times New Roman" w:eastAsia="方正仿宋_GBK"/>
                <w:b/>
                <w:kern w:val="0"/>
                <w:sz w:val="21"/>
                <w:szCs w:val="24"/>
              </w:rPr>
              <w:t>《能源效率标识管理办法》第六条第二款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列入《目录》的用能产品通过网络交易的，还应当在产品信息展示主页面醒目位置展示相应的能效标识。</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 xml:space="preserve">第十六条第一款 </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销售者（含网络商品经营者）应当建立并执行进货检查验收制度，验明列入《目录》的用能产品能效标识，不得销售应当标注而未标注能效标识的产品。</w:t>
            </w:r>
          </w:p>
        </w:tc>
        <w:tc>
          <w:tcPr>
            <w:tcW w:w="4747" w:type="dxa"/>
            <w:tcBorders>
              <w:top w:val="nil"/>
              <w:left w:val="nil"/>
              <w:bottom w:val="single" w:color="auto" w:sz="4" w:space="0"/>
              <w:right w:val="single" w:color="auto" w:sz="4" w:space="0"/>
              <w:tl2br w:val="nil"/>
              <w:tr2bl w:val="nil"/>
            </w:tcBorders>
            <w:noWrap w:val="0"/>
            <w:vAlign w:val="center"/>
          </w:tcPr>
          <w:p w14:paraId="5AEB5D8E">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《节约能源法》第七十三条第一款</w:t>
            </w:r>
            <w:r>
              <w:rPr>
                <w:rFonts w:hint="eastAsia" w:ascii="Times New Roman" w:hAnsi="Times New Roman" w:eastAsia="方正仿宋_GBK"/>
                <w:kern w:val="0"/>
                <w:sz w:val="21"/>
                <w:szCs w:val="24"/>
              </w:rPr>
              <w:t>　违反本法规定，应当标注能源效率标识而未标注的，由市场监督管理部门责令改正，处三万元以上五万元以下罚款。</w:t>
            </w:r>
          </w:p>
          <w:p w14:paraId="29FB884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《能源效率标识管理办法》第二十七条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r>
      <w:tr w14:paraId="3BA9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7"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07DA97">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464D5D8">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33</w:t>
            </w:r>
          </w:p>
        </w:tc>
        <w:tc>
          <w:tcPr>
            <w:tcW w:w="1705" w:type="dxa"/>
            <w:tcBorders>
              <w:top w:val="nil"/>
              <w:left w:val="nil"/>
              <w:bottom w:val="single" w:color="auto" w:sz="4" w:space="0"/>
              <w:right w:val="single" w:color="auto" w:sz="4" w:space="0"/>
              <w:tl2br w:val="nil"/>
              <w:tr2bl w:val="nil"/>
            </w:tcBorders>
            <w:noWrap w:val="0"/>
            <w:vAlign w:val="center"/>
          </w:tcPr>
          <w:p w14:paraId="0B340D43">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销售应当标注但未标注水效标识的产品</w:t>
            </w:r>
          </w:p>
        </w:tc>
        <w:tc>
          <w:tcPr>
            <w:tcW w:w="2480" w:type="dxa"/>
            <w:tcBorders>
              <w:top w:val="nil"/>
              <w:left w:val="nil"/>
              <w:bottom w:val="single" w:color="auto" w:sz="4" w:space="0"/>
              <w:right w:val="single" w:color="auto" w:sz="4" w:space="0"/>
              <w:tl2br w:val="nil"/>
              <w:tr2bl w:val="nil"/>
            </w:tcBorders>
            <w:noWrap w:val="0"/>
            <w:vAlign w:val="center"/>
          </w:tcPr>
          <w:p w14:paraId="51A089B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货值金额较小或者产品数量较少；</w:t>
            </w:r>
          </w:p>
          <w:p w14:paraId="451DDA67">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对已售出产品采取召回措施或其他补救措施；</w:t>
            </w:r>
          </w:p>
          <w:p w14:paraId="2EFDCB0A">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如实说明进货来源；</w:t>
            </w:r>
          </w:p>
          <w:p w14:paraId="79262A06">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3CC0FB85">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eastAsia" w:ascii="Times New Roman" w:hAnsi="Times New Roman" w:eastAsia="方正仿宋_GBK"/>
                <w:kern w:val="0"/>
                <w:sz w:val="21"/>
                <w:szCs w:val="24"/>
              </w:rPr>
              <w:t>　凡列入《目录》的产品，应当在产品或者产品最小包装的明显部位标注水效标识，并在产品使用说明书中予以说明。对于网络交易，销售者应当在产品信息展示主页面醒目位置展示相应的水效标识。</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第二十一条第一款</w:t>
            </w:r>
            <w:r>
              <w:rPr>
                <w:rFonts w:hint="eastAsia" w:ascii="Times New Roman" w:hAnsi="Times New Roman" w:eastAsia="方正仿宋_GBK"/>
                <w:kern w:val="0"/>
                <w:sz w:val="21"/>
                <w:szCs w:val="24"/>
              </w:rPr>
              <w:t>　销售者（含网络商品经营者）应当建立并执行进货检查验收制度，对列入《目录》的产品，验明产品水效标识，不得销售应当标注但未标注水效标识的产品，不得伪造或者冒用水效标识。</w:t>
            </w:r>
          </w:p>
        </w:tc>
        <w:tc>
          <w:tcPr>
            <w:tcW w:w="4747" w:type="dxa"/>
            <w:tcBorders>
              <w:top w:val="nil"/>
              <w:left w:val="nil"/>
              <w:bottom w:val="single" w:color="auto" w:sz="4" w:space="0"/>
              <w:right w:val="single" w:color="auto" w:sz="4" w:space="0"/>
              <w:tl2br w:val="nil"/>
              <w:tr2bl w:val="nil"/>
            </w:tcBorders>
            <w:noWrap w:val="0"/>
            <w:vAlign w:val="center"/>
          </w:tcPr>
          <w:p w14:paraId="5A9B1BE0">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《水效标识管理办法》第二十八条第一项</w:t>
            </w:r>
            <w:r>
              <w:rPr>
                <w:rFonts w:hint="eastAsia" w:ascii="Times New Roman" w:hAnsi="Times New Roman" w:eastAsia="方正仿宋_GBK"/>
                <w:kern w:val="0"/>
                <w:sz w:val="21"/>
                <w:szCs w:val="24"/>
              </w:rPr>
              <w:t>　违反本办法规定，销售者（含网络商品经营者）有下列情形之一的，予以通报，并处1万元以上3万元以下罚款：（一）销售应当标注但未标注水效标识的产品的；</w:t>
            </w:r>
          </w:p>
        </w:tc>
      </w:tr>
      <w:tr w14:paraId="40CB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2"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8591C3">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3A493FDE">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34</w:t>
            </w:r>
          </w:p>
        </w:tc>
        <w:tc>
          <w:tcPr>
            <w:tcW w:w="1705" w:type="dxa"/>
            <w:tcBorders>
              <w:top w:val="nil"/>
              <w:left w:val="nil"/>
              <w:bottom w:val="single" w:color="auto" w:sz="4" w:space="0"/>
              <w:right w:val="single" w:color="auto" w:sz="4" w:space="0"/>
              <w:tl2br w:val="nil"/>
              <w:tr2bl w:val="nil"/>
            </w:tcBorders>
            <w:noWrap w:val="0"/>
            <w:vAlign w:val="center"/>
          </w:tcPr>
          <w:p w14:paraId="3C911035">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销售使用不符合规定的水效标识的产品</w:t>
            </w:r>
          </w:p>
        </w:tc>
        <w:tc>
          <w:tcPr>
            <w:tcW w:w="2480" w:type="dxa"/>
            <w:tcBorders>
              <w:top w:val="nil"/>
              <w:left w:val="nil"/>
              <w:bottom w:val="single" w:color="auto" w:sz="4" w:space="0"/>
              <w:right w:val="single" w:color="auto" w:sz="4" w:space="0"/>
              <w:tl2br w:val="nil"/>
              <w:tr2bl w:val="nil"/>
            </w:tcBorders>
            <w:noWrap w:val="0"/>
            <w:vAlign w:val="center"/>
          </w:tcPr>
          <w:p w14:paraId="7D4CD0CB">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货值金额较小或者产品数量较少；</w:t>
            </w:r>
          </w:p>
          <w:p w14:paraId="0079C0D2">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对已售出产品采取召回措施或其他补救措施；</w:t>
            </w:r>
          </w:p>
          <w:p w14:paraId="6E8F99DE">
            <w:pPr>
              <w:widowControl/>
              <w:spacing w:beforeLines="0" w:afterLines="0" w:line="300" w:lineRule="exact"/>
              <w:rPr>
                <w:rFonts w:hint="default" w:ascii="Times New Roman" w:hAnsi="Times New Roman"/>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如实说明进货来源；</w:t>
            </w:r>
          </w:p>
          <w:p w14:paraId="6C2149AD">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B0520AC">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eastAsia" w:ascii="Times New Roman" w:hAnsi="Times New Roman" w:eastAsia="方正仿宋_GBK"/>
                <w:kern w:val="0"/>
                <w:sz w:val="21"/>
                <w:szCs w:val="24"/>
              </w:rPr>
              <w:t>　凡列入《目录》的产品，应当在产品或者产品最小包装的明显部位标注水效标识，并在产品使用说明书中予以说明。对于网络交易，销售者应当在产品信息展示主页面醒目位置展示相应的水效标识。</w:t>
            </w:r>
          </w:p>
          <w:p w14:paraId="4048411A">
            <w:pPr>
              <w:widowControl/>
              <w:spacing w:beforeLines="0" w:afterLines="0" w:line="24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第十一条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生产者和进口商应当根据国家统一规定的水效标识样式（基本样式见附件）、规格以及标注规定，印制和使用水效标识。</w:t>
            </w:r>
            <w:r>
              <w:rPr>
                <w:rFonts w:hint="default" w:ascii="Times New Roman" w:hAnsi="Times New Roman" w:eastAsia="方正仿宋_GBK"/>
                <w:kern w:val="0"/>
                <w:sz w:val="21"/>
                <w:szCs w:val="24"/>
              </w:rPr>
              <w:br w:type="textWrapping"/>
            </w:r>
            <w:r>
              <w:rPr>
                <w:rFonts w:hint="eastAsia" w:ascii="Times New Roman" w:hAnsi="Times New Roman" w:eastAsia="方正仿宋_GBK"/>
                <w:kern w:val="0"/>
                <w:sz w:val="21"/>
                <w:szCs w:val="24"/>
              </w:rPr>
              <w:t>　　在产品包装物、说明书、广告宣传以及网络商品交易产品信息展示主页面中使用的水效标识，可按比例放大或者缩小，并清晰可辨。</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第二十一条第一款</w:t>
            </w:r>
            <w:r>
              <w:rPr>
                <w:rFonts w:hint="eastAsia" w:ascii="Times New Roman" w:hAnsi="Times New Roman" w:eastAsia="方正仿宋_GBK"/>
                <w:kern w:val="0"/>
                <w:sz w:val="21"/>
                <w:szCs w:val="24"/>
              </w:rPr>
              <w:t>　销售者（含网络商品经营者）应当建立并执行进货检查验收制度，对列入《目录》的产品，验明产品水效标识，不得销售应当标注但未标注水效标识的产品，不得伪造或者冒用水效标识。</w:t>
            </w:r>
          </w:p>
        </w:tc>
        <w:tc>
          <w:tcPr>
            <w:tcW w:w="4747" w:type="dxa"/>
            <w:tcBorders>
              <w:top w:val="nil"/>
              <w:left w:val="nil"/>
              <w:bottom w:val="single" w:color="auto" w:sz="4" w:space="0"/>
              <w:right w:val="single" w:color="auto" w:sz="4" w:space="0"/>
              <w:tl2br w:val="nil"/>
              <w:tr2bl w:val="nil"/>
            </w:tcBorders>
            <w:noWrap w:val="0"/>
            <w:vAlign w:val="center"/>
          </w:tcPr>
          <w:p w14:paraId="1120471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《水效标识管理办法》第二十八条第二项</w:t>
            </w:r>
            <w:r>
              <w:rPr>
                <w:rFonts w:hint="eastAsia" w:ascii="Times New Roman" w:hAnsi="Times New Roman" w:eastAsia="方正仿宋_GBK"/>
                <w:kern w:val="0"/>
                <w:sz w:val="21"/>
                <w:szCs w:val="24"/>
              </w:rPr>
              <w:t>　违反本办法规定，销售者（含网络商品经营者）有下列情形之一的，予以通报，并处1万元以上3万元以下罚款：</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（二）销售使用不符合规定的水效标识的产品的；</w:t>
            </w:r>
          </w:p>
        </w:tc>
      </w:tr>
      <w:tr w14:paraId="6A32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571A6E">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54B40C27">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35</w:t>
            </w:r>
          </w:p>
        </w:tc>
        <w:tc>
          <w:tcPr>
            <w:tcW w:w="1705" w:type="dxa"/>
            <w:tcBorders>
              <w:top w:val="nil"/>
              <w:left w:val="nil"/>
              <w:bottom w:val="single" w:color="auto" w:sz="4" w:space="0"/>
              <w:right w:val="single" w:color="auto" w:sz="4" w:space="0"/>
              <w:tl2br w:val="nil"/>
              <w:tr2bl w:val="nil"/>
            </w:tcBorders>
            <w:noWrap w:val="0"/>
            <w:vAlign w:val="center"/>
          </w:tcPr>
          <w:p w14:paraId="0917DB0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在网络交易产品信息主页面展示的水效标识不符合规定</w:t>
            </w:r>
          </w:p>
        </w:tc>
        <w:tc>
          <w:tcPr>
            <w:tcW w:w="2480" w:type="dxa"/>
            <w:tcBorders>
              <w:top w:val="nil"/>
              <w:left w:val="nil"/>
              <w:bottom w:val="single" w:color="auto" w:sz="4" w:space="0"/>
              <w:right w:val="single" w:color="auto" w:sz="4" w:space="0"/>
              <w:tl2br w:val="nil"/>
              <w:tr2bl w:val="nil"/>
            </w:tcBorders>
            <w:noWrap w:val="0"/>
            <w:vAlign w:val="center"/>
          </w:tcPr>
          <w:p w14:paraId="5C856DB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产品已办理水效标识备案；</w:t>
            </w:r>
          </w:p>
          <w:p w14:paraId="3166B9C6">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9E0EA5A">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《水效标识管理办法》第八条</w:t>
            </w:r>
            <w:r>
              <w:rPr>
                <w:rFonts w:hint="eastAsia" w:ascii="Times New Roman" w:hAnsi="Times New Roman" w:eastAsia="方正仿宋_GBK"/>
                <w:kern w:val="0"/>
                <w:sz w:val="21"/>
                <w:szCs w:val="24"/>
              </w:rPr>
              <w:t>　凡列入《目录》的产品，应当在产品或者产品最小包装的明显部位标注水效标识，并在产品使用说明书中予以说明。对于网络交易，销售者应当在产品信息展示主页面醒目位置展示相应的水效标识。</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第二十一条第一款</w:t>
            </w:r>
            <w:r>
              <w:rPr>
                <w:rFonts w:hint="eastAsia" w:ascii="Times New Roman" w:hAnsi="Times New Roman" w:eastAsia="方正仿宋_GBK"/>
                <w:kern w:val="0"/>
                <w:sz w:val="21"/>
                <w:szCs w:val="24"/>
              </w:rPr>
              <w:t>　销售者（含网络商品经营者）应当建立并执行进货检查验收制度，对列入《目录》的产品，验明产品水效标识，不得销售应当标注但未标注水效标识的产品，不得伪造或者冒用水效标识。</w:t>
            </w:r>
          </w:p>
        </w:tc>
        <w:tc>
          <w:tcPr>
            <w:tcW w:w="4747" w:type="dxa"/>
            <w:tcBorders>
              <w:top w:val="nil"/>
              <w:left w:val="nil"/>
              <w:bottom w:val="single" w:color="auto" w:sz="4" w:space="0"/>
              <w:right w:val="single" w:color="auto" w:sz="4" w:space="0"/>
              <w:tl2br w:val="nil"/>
              <w:tr2bl w:val="nil"/>
            </w:tcBorders>
            <w:noWrap w:val="0"/>
            <w:vAlign w:val="center"/>
          </w:tcPr>
          <w:p w14:paraId="459C2BC8">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《水效标识管理办法》第二十八条第三项</w:t>
            </w:r>
            <w:r>
              <w:rPr>
                <w:rFonts w:hint="eastAsia" w:ascii="Times New Roman" w:hAnsi="Times New Roman" w:eastAsia="方正仿宋_GBK"/>
                <w:kern w:val="0"/>
                <w:sz w:val="21"/>
                <w:szCs w:val="24"/>
              </w:rPr>
              <w:t>　违反本办法规定，销售者（含网络商品经营者）有下列情形之一的，予以通报，并处1万元以上3万元以下罚款：</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（三）在网络交易产品信息主页面展示的水效标识不符合规定的；</w:t>
            </w:r>
          </w:p>
        </w:tc>
      </w:tr>
      <w:tr w14:paraId="4E95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2" w:hRule="atLeast"/>
          <w:jc w:val="center"/>
        </w:trPr>
        <w:tc>
          <w:tcPr>
            <w:tcW w:w="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96BEF4">
            <w:pPr>
              <w:widowControl/>
              <w:spacing w:beforeLines="0" w:afterLines="0" w:line="320" w:lineRule="exact"/>
              <w:rPr>
                <w:rFonts w:hint="default" w:ascii="Times New Roman" w:hAnsi="Times New Roman" w:eastAsia="方正黑体_GBK"/>
                <w:kern w:val="0"/>
                <w:sz w:val="21"/>
                <w:szCs w:val="24"/>
              </w:rPr>
            </w:pPr>
            <w:r>
              <w:rPr>
                <w:rFonts w:hint="eastAsia" w:ascii="Times New Roman" w:hAnsi="Times New Roman" w:eastAsia="方正黑体_GBK"/>
                <w:kern w:val="0"/>
                <w:sz w:val="21"/>
                <w:szCs w:val="24"/>
              </w:rPr>
              <w:t>药品、化妆品</w:t>
            </w:r>
            <w:r>
              <w:rPr>
                <w:rFonts w:hint="eastAsia" w:ascii="Times New Roman" w:hAnsi="Times New Roman" w:eastAsia="方正黑体_GBK"/>
                <w:kern w:val="0"/>
                <w:sz w:val="24"/>
                <w:szCs w:val="24"/>
              </w:rPr>
              <w:t>、</w:t>
            </w:r>
            <w:r>
              <w:rPr>
                <w:rFonts w:hint="eastAsia" w:ascii="Times New Roman" w:hAnsi="Times New Roman" w:eastAsia="方正黑体_GBK"/>
                <w:kern w:val="0"/>
                <w:sz w:val="21"/>
                <w:szCs w:val="24"/>
              </w:rPr>
              <w:t>医疗器械</w:t>
            </w: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1ADAAB6E">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36</w:t>
            </w:r>
          </w:p>
        </w:tc>
        <w:tc>
          <w:tcPr>
            <w:tcW w:w="1705" w:type="dxa"/>
            <w:tcBorders>
              <w:top w:val="nil"/>
              <w:left w:val="nil"/>
              <w:bottom w:val="single" w:color="auto" w:sz="4" w:space="0"/>
              <w:right w:val="single" w:color="auto" w:sz="4" w:space="0"/>
              <w:tl2br w:val="nil"/>
              <w:tr2bl w:val="nil"/>
            </w:tcBorders>
            <w:noWrap w:val="0"/>
            <w:vAlign w:val="center"/>
          </w:tcPr>
          <w:p w14:paraId="2AB24B07">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未取得药品经营许可证销售少量非处方药品</w:t>
            </w:r>
          </w:p>
        </w:tc>
        <w:tc>
          <w:tcPr>
            <w:tcW w:w="2480" w:type="dxa"/>
            <w:tcBorders>
              <w:top w:val="nil"/>
              <w:left w:val="nil"/>
              <w:bottom w:val="single" w:color="auto" w:sz="4" w:space="0"/>
              <w:right w:val="single" w:color="auto" w:sz="4" w:space="0"/>
              <w:tl2br w:val="nil"/>
              <w:tr2bl w:val="nil"/>
            </w:tcBorders>
            <w:noWrap w:val="0"/>
            <w:vAlign w:val="center"/>
          </w:tcPr>
          <w:p w14:paraId="7FFAE659">
            <w:pPr>
              <w:widowControl/>
              <w:spacing w:beforeLines="0" w:afterLines="0" w:line="26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3291228B">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F218E9F">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       </w:t>
            </w:r>
          </w:p>
          <w:p w14:paraId="2932A023">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药品可溯源，系国内已合法上市药品；                </w:t>
            </w:r>
          </w:p>
          <w:p w14:paraId="50145A95">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货值金额较小；                </w:t>
            </w:r>
          </w:p>
          <w:p w14:paraId="458F8FC2">
            <w:pPr>
              <w:widowControl/>
              <w:spacing w:beforeLines="0" w:afterLines="0" w:line="26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 xml:space="preserve">及时改正。             </w:t>
            </w:r>
          </w:p>
        </w:tc>
        <w:tc>
          <w:tcPr>
            <w:tcW w:w="4800" w:type="dxa"/>
            <w:tcBorders>
              <w:top w:val="nil"/>
              <w:left w:val="nil"/>
              <w:bottom w:val="single" w:color="auto" w:sz="4" w:space="0"/>
              <w:right w:val="single" w:color="auto" w:sz="4" w:space="0"/>
              <w:tl2br w:val="nil"/>
              <w:tr2bl w:val="nil"/>
            </w:tcBorders>
            <w:noWrap w:val="0"/>
            <w:vAlign w:val="center"/>
          </w:tcPr>
          <w:p w14:paraId="65728BE9">
            <w:pPr>
              <w:widowControl/>
              <w:spacing w:beforeLines="0" w:afterLines="0" w:line="24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《药品管理法》第五十一条第一款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tc>
        <w:tc>
          <w:tcPr>
            <w:tcW w:w="4747" w:type="dxa"/>
            <w:tcBorders>
              <w:top w:val="nil"/>
              <w:left w:val="nil"/>
              <w:bottom w:val="single" w:color="auto" w:sz="4" w:space="0"/>
              <w:right w:val="single" w:color="auto" w:sz="4" w:space="0"/>
              <w:tl2br w:val="nil"/>
              <w:tr2bl w:val="nil"/>
            </w:tcBorders>
            <w:noWrap w:val="0"/>
            <w:vAlign w:val="center"/>
          </w:tcPr>
          <w:p w14:paraId="52AA85B3">
            <w:pPr>
              <w:widowControl/>
              <w:spacing w:beforeLines="0" w:afterLines="0" w:line="24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《药品管理法》第一百一十五条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r>
      <w:tr w14:paraId="3324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3"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085CE8">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1B16121A">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37</w:t>
            </w:r>
          </w:p>
        </w:tc>
        <w:tc>
          <w:tcPr>
            <w:tcW w:w="1705" w:type="dxa"/>
            <w:tcBorders>
              <w:top w:val="nil"/>
              <w:left w:val="nil"/>
              <w:bottom w:val="single" w:color="auto" w:sz="4" w:space="0"/>
              <w:right w:val="single" w:color="auto" w:sz="4" w:space="0"/>
              <w:tl2br w:val="nil"/>
              <w:tr2bl w:val="nil"/>
            </w:tcBorders>
            <w:noWrap w:val="0"/>
            <w:vAlign w:val="center"/>
          </w:tcPr>
          <w:p w14:paraId="6ACA1A0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未从药品上市许可持有人或者具有药品生产、经营资格的企业购进药品</w:t>
            </w:r>
          </w:p>
        </w:tc>
        <w:tc>
          <w:tcPr>
            <w:tcW w:w="2480" w:type="dxa"/>
            <w:tcBorders>
              <w:top w:val="nil"/>
              <w:left w:val="nil"/>
              <w:bottom w:val="single" w:color="auto" w:sz="4" w:space="0"/>
              <w:right w:val="single" w:color="auto" w:sz="4" w:space="0"/>
              <w:tl2br w:val="nil"/>
              <w:tr2bl w:val="nil"/>
            </w:tcBorders>
            <w:noWrap w:val="0"/>
            <w:vAlign w:val="center"/>
          </w:tcPr>
          <w:p w14:paraId="6E2C502A">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违法购进药品数量较少或者货值金额较小；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违法所得较少；</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4A712E92">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《药品管理法》第五十五条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药品上市许可持有人、药品生产企业、药品经营企业和医疗机构应当从药品上市许可持有人或者具有药品生产、经营资格的企业购进药品；但是，购进未实施审批管理的中药材除外。</w:t>
            </w:r>
          </w:p>
        </w:tc>
        <w:tc>
          <w:tcPr>
            <w:tcW w:w="4747" w:type="dxa"/>
            <w:tcBorders>
              <w:top w:val="nil"/>
              <w:left w:val="nil"/>
              <w:bottom w:val="single" w:color="auto" w:sz="4" w:space="0"/>
              <w:right w:val="single" w:color="auto" w:sz="4" w:space="0"/>
              <w:tl2br w:val="nil"/>
              <w:tr2bl w:val="nil"/>
            </w:tcBorders>
            <w:noWrap w:val="0"/>
            <w:vAlign w:val="center"/>
          </w:tcPr>
          <w:p w14:paraId="6B405B76">
            <w:pPr>
              <w:widowControl/>
              <w:spacing w:beforeLines="0" w:afterLines="0" w:line="26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《药品管理法》第一百二十九条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14:paraId="2063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7"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6C26DD">
            <w:pPr>
              <w:widowControl/>
              <w:spacing w:beforeLines="0" w:afterLines="0" w:line="320" w:lineRule="exact"/>
              <w:rPr>
                <w:rFonts w:hint="default" w:ascii="Times New Roman" w:hAnsi="Times New Roman" w:eastAsia="方正黑体_GBK"/>
                <w:kern w:val="0"/>
                <w:sz w:val="21"/>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55A0531">
            <w:pPr>
              <w:widowControl/>
              <w:spacing w:beforeLines="0" w:afterLines="0" w:line="30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38</w:t>
            </w:r>
          </w:p>
        </w:tc>
        <w:tc>
          <w:tcPr>
            <w:tcW w:w="1705" w:type="dxa"/>
            <w:tcBorders>
              <w:top w:val="nil"/>
              <w:left w:val="nil"/>
              <w:bottom w:val="single" w:color="auto" w:sz="4" w:space="0"/>
              <w:right w:val="single" w:color="auto" w:sz="4" w:space="0"/>
              <w:tl2br w:val="nil"/>
              <w:tr2bl w:val="nil"/>
            </w:tcBorders>
            <w:noWrap w:val="0"/>
            <w:vAlign w:val="center"/>
          </w:tcPr>
          <w:p w14:paraId="6C2618A1">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零售药店销售少量过期非处方药</w:t>
            </w:r>
          </w:p>
        </w:tc>
        <w:tc>
          <w:tcPr>
            <w:tcW w:w="2480" w:type="dxa"/>
            <w:tcBorders>
              <w:top w:val="nil"/>
              <w:left w:val="nil"/>
              <w:bottom w:val="single" w:color="auto" w:sz="4" w:space="0"/>
              <w:right w:val="single" w:color="auto" w:sz="4" w:space="0"/>
              <w:tl2br w:val="nil"/>
              <w:tr2bl w:val="nil"/>
            </w:tcBorders>
            <w:noWrap w:val="0"/>
            <w:vAlign w:val="center"/>
          </w:tcPr>
          <w:p w14:paraId="4A8BC68C">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货值金额较小；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过期时间较短；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药品可溯源，系国内已合法上市药品；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没有对人体健康造成损害；</w:t>
            </w:r>
          </w:p>
          <w:p w14:paraId="457A1541">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60D9135C">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《药品管理法》第九十八条第一款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禁止生产（包括配制，下同）、销售、使用假药、劣药。</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第三款第五项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有下列情形之一的，为劣药：（五）超过有效期的药品；</w:t>
            </w:r>
          </w:p>
        </w:tc>
        <w:tc>
          <w:tcPr>
            <w:tcW w:w="4747" w:type="dxa"/>
            <w:tcBorders>
              <w:top w:val="nil"/>
              <w:left w:val="nil"/>
              <w:bottom w:val="single" w:color="auto" w:sz="4" w:space="0"/>
              <w:right w:val="single" w:color="auto" w:sz="4" w:space="0"/>
              <w:tl2br w:val="nil"/>
              <w:tr2bl w:val="nil"/>
            </w:tcBorders>
            <w:noWrap w:val="0"/>
            <w:vAlign w:val="center"/>
          </w:tcPr>
          <w:p w14:paraId="51BD5E0B">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《药品管理法》第一百一十七条第一款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tc>
      </w:tr>
      <w:tr w14:paraId="73E8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3" w:hRule="atLeast"/>
          <w:jc w:val="center"/>
        </w:trPr>
        <w:tc>
          <w:tcPr>
            <w:tcW w:w="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EBC5A2">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1B7E1F8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39</w:t>
            </w:r>
          </w:p>
        </w:tc>
        <w:tc>
          <w:tcPr>
            <w:tcW w:w="1705" w:type="dxa"/>
            <w:tcBorders>
              <w:top w:val="nil"/>
              <w:left w:val="nil"/>
              <w:bottom w:val="single" w:color="auto" w:sz="4" w:space="0"/>
              <w:right w:val="single" w:color="auto" w:sz="4" w:space="0"/>
              <w:tl2br w:val="nil"/>
              <w:tr2bl w:val="nil"/>
            </w:tcBorders>
            <w:noWrap w:val="0"/>
            <w:vAlign w:val="center"/>
          </w:tcPr>
          <w:p w14:paraId="57B1BE0D">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未经批准进口少量境外已合法上市的药品</w:t>
            </w:r>
          </w:p>
        </w:tc>
        <w:tc>
          <w:tcPr>
            <w:tcW w:w="2480" w:type="dxa"/>
            <w:tcBorders>
              <w:top w:val="nil"/>
              <w:left w:val="nil"/>
              <w:bottom w:val="single" w:color="auto" w:sz="4" w:space="0"/>
              <w:right w:val="single" w:color="auto" w:sz="4" w:space="0"/>
              <w:tl2br w:val="nil"/>
              <w:tr2bl w:val="nil"/>
            </w:tcBorders>
            <w:noWrap w:val="0"/>
            <w:vAlign w:val="center"/>
          </w:tcPr>
          <w:p w14:paraId="1766A39E">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2D399C7">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03C0E6E0">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进口药品货值金额较小，或数量较少；             </w:t>
            </w:r>
          </w:p>
          <w:p w14:paraId="4B760A1F">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p w14:paraId="008BE9EA">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药品可溯源，系国外已合法上市药品。</w:t>
            </w:r>
          </w:p>
        </w:tc>
        <w:tc>
          <w:tcPr>
            <w:tcW w:w="4800" w:type="dxa"/>
            <w:tcBorders>
              <w:top w:val="nil"/>
              <w:left w:val="nil"/>
              <w:bottom w:val="single" w:color="auto" w:sz="4" w:space="0"/>
              <w:right w:val="single" w:color="auto" w:sz="4" w:space="0"/>
              <w:tl2br w:val="nil"/>
              <w:tr2bl w:val="nil"/>
            </w:tcBorders>
            <w:noWrap w:val="0"/>
            <w:vAlign w:val="center"/>
          </w:tcPr>
          <w:p w14:paraId="21C09461">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《药品管理法》第九十八条第四款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禁止未取得药品批准证明文件生产、进口药品；禁止使用未按照规定审评、审批的原料药、包装材料和容器生产药品。</w:t>
            </w:r>
          </w:p>
        </w:tc>
        <w:tc>
          <w:tcPr>
            <w:tcW w:w="4747" w:type="dxa"/>
            <w:tcBorders>
              <w:top w:val="nil"/>
              <w:left w:val="nil"/>
              <w:bottom w:val="single" w:color="auto" w:sz="4" w:space="0"/>
              <w:right w:val="single" w:color="auto" w:sz="4" w:space="0"/>
              <w:tl2br w:val="nil"/>
              <w:tr2bl w:val="nil"/>
            </w:tcBorders>
            <w:noWrap w:val="0"/>
            <w:vAlign w:val="top"/>
          </w:tcPr>
          <w:p w14:paraId="7F455A80">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《药品管理法》第一百二十四条</w:t>
            </w:r>
            <w:r>
              <w:rPr>
                <w:rFonts w:hint="eastAsia" w:ascii="Times New Roman" w:hAnsi="Times New Roman" w:eastAsia="方正仿宋_GBK"/>
                <w:kern w:val="0"/>
                <w:sz w:val="21"/>
                <w:szCs w:val="24"/>
              </w:rPr>
              <w:t>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w:t>
            </w:r>
          </w:p>
          <w:p w14:paraId="005D2706">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29D36912">
            <w:pPr>
              <w:widowControl/>
              <w:spacing w:beforeLines="0" w:afterLines="0" w:line="240" w:lineRule="exact"/>
              <w:ind w:firstLine="374" w:firstLineChars="200"/>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未经批准进口少量境外已合法上市的药品，情节较轻的，可以依法减轻或者免予处罚。</w:t>
            </w:r>
          </w:p>
        </w:tc>
      </w:tr>
      <w:tr w14:paraId="302C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nil"/>
              <w:right w:val="single" w:color="auto" w:sz="4" w:space="0"/>
              <w:tl2br w:val="nil"/>
              <w:tr2bl w:val="nil"/>
            </w:tcBorders>
            <w:noWrap w:val="0"/>
            <w:vAlign w:val="center"/>
          </w:tcPr>
          <w:p w14:paraId="08A61A8A">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25FFDA77">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40</w:t>
            </w:r>
          </w:p>
        </w:tc>
        <w:tc>
          <w:tcPr>
            <w:tcW w:w="1705" w:type="dxa"/>
            <w:tcBorders>
              <w:top w:val="nil"/>
              <w:left w:val="nil"/>
              <w:bottom w:val="single" w:color="auto" w:sz="4" w:space="0"/>
              <w:right w:val="single" w:color="auto" w:sz="4" w:space="0"/>
              <w:tl2br w:val="nil"/>
              <w:tr2bl w:val="nil"/>
            </w:tcBorders>
            <w:noWrap w:val="0"/>
            <w:vAlign w:val="center"/>
          </w:tcPr>
          <w:p w14:paraId="641B7752">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经营未备案的普通化妆品</w:t>
            </w:r>
          </w:p>
        </w:tc>
        <w:tc>
          <w:tcPr>
            <w:tcW w:w="2480" w:type="dxa"/>
            <w:tcBorders>
              <w:top w:val="nil"/>
              <w:left w:val="nil"/>
              <w:bottom w:val="single" w:color="auto" w:sz="4" w:space="0"/>
              <w:right w:val="single" w:color="auto" w:sz="4" w:space="0"/>
              <w:tl2br w:val="nil"/>
              <w:tr2bl w:val="nil"/>
            </w:tcBorders>
            <w:noWrap w:val="0"/>
            <w:vAlign w:val="center"/>
          </w:tcPr>
          <w:p w14:paraId="1503C3FD">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数量较少或者货值金额较小；</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能够如实说明来源；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7E1174BE">
            <w:pPr>
              <w:widowControl/>
              <w:spacing w:beforeLines="0" w:afterLines="0" w:line="30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《化妆品监督管理条例》第四条第二款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化妆品分为特殊化妆品和普通化妆品。国家对特殊化妆品实行注册管理，对普通化妆品实行备案管理。</w:t>
            </w:r>
          </w:p>
        </w:tc>
        <w:tc>
          <w:tcPr>
            <w:tcW w:w="4747" w:type="dxa"/>
            <w:tcBorders>
              <w:top w:val="nil"/>
              <w:left w:val="nil"/>
              <w:bottom w:val="single" w:color="auto" w:sz="4" w:space="0"/>
              <w:right w:val="single" w:color="auto" w:sz="4" w:space="0"/>
              <w:tl2br w:val="nil"/>
              <w:tr2bl w:val="nil"/>
            </w:tcBorders>
            <w:noWrap w:val="0"/>
            <w:vAlign w:val="center"/>
          </w:tcPr>
          <w:p w14:paraId="640FF158">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《化妆品监督管理条例》第六十一条第一款第一项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w:t>
            </w:r>
          </w:p>
        </w:tc>
      </w:tr>
      <w:tr w14:paraId="6F21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5" w:type="dxa"/>
            <w:tcBorders>
              <w:top w:val="nil"/>
              <w:left w:val="single" w:color="auto" w:sz="4" w:space="0"/>
              <w:bottom w:val="single" w:color="auto" w:sz="4" w:space="0"/>
              <w:right w:val="single" w:color="auto" w:sz="4" w:space="0"/>
              <w:tl2br w:val="nil"/>
              <w:tr2bl w:val="nil"/>
            </w:tcBorders>
            <w:noWrap w:val="0"/>
            <w:vAlign w:val="center"/>
          </w:tcPr>
          <w:p w14:paraId="1118CA67">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0CFBF">
            <w:pPr>
              <w:widowControl/>
              <w:spacing w:beforeLines="0" w:afterLines="0" w:line="30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41</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AD195">
            <w:pPr>
              <w:widowControl/>
              <w:adjustRightInd w:val="0"/>
              <w:snapToGrid w:val="0"/>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美容美发机构、宾馆等在经营中使用或者为消费者提供标签不符合规定的化妆品</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E41DF">
            <w:pPr>
              <w:widowControl/>
              <w:spacing w:beforeLines="0" w:afterLines="0" w:line="30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经营的化妆品质量合格；</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经营的化妆品能够说明合法来源；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没有对人体健康造成损害；</w:t>
            </w:r>
          </w:p>
          <w:p w14:paraId="52A0FEF4">
            <w:pPr>
              <w:widowControl/>
              <w:spacing w:beforeLines="0" w:afterLines="0" w:line="30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及时改正。</w:t>
            </w:r>
          </w:p>
        </w:tc>
        <w:tc>
          <w:tcPr>
            <w:tcW w:w="4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D1BD6">
            <w:pPr>
              <w:widowControl/>
              <w:spacing w:beforeLines="0" w:afterLines="0" w:line="260" w:lineRule="exac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《化妆品监督管理条例》第三十五条第一款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化妆品的最小销售单元应当有标签。标签应当符合相关法律、行政法规、强制性国家标准，内容真实、完整、准确。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 xml:space="preserve">    </w:t>
            </w:r>
            <w:r>
              <w:rPr>
                <w:rFonts w:hint="eastAsia" w:ascii="Times New Roman" w:hAnsi="Times New Roman" w:eastAsia="方正仿宋_GBK"/>
                <w:b/>
                <w:kern w:val="0"/>
                <w:sz w:val="21"/>
                <w:szCs w:val="24"/>
              </w:rPr>
              <w:t>第三十六条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化妆品标签应当标注下列内容：（一）产品名称、特殊化妆品注册证编号；（二）注册人、备案人、受托生产企业的名称、地址；（三）化妆品生产许可证编号；（四）产品执行的标准编号；（五）全成分；（六）净含量；（七）使用期限、使用方法以及必要的安全警示；（八）法律、行政法规和强制性国家标准规定应当标注的其他内容。</w:t>
            </w:r>
          </w:p>
        </w:tc>
        <w:tc>
          <w:tcPr>
            <w:tcW w:w="4747" w:type="dxa"/>
            <w:tcBorders>
              <w:top w:val="nil"/>
              <w:left w:val="nil"/>
              <w:bottom w:val="single" w:color="auto" w:sz="4" w:space="0"/>
              <w:right w:val="single" w:color="auto" w:sz="4" w:space="0"/>
              <w:tl2br w:val="nil"/>
              <w:tr2bl w:val="nil"/>
            </w:tcBorders>
            <w:noWrap w:val="0"/>
            <w:vAlign w:val="center"/>
          </w:tcPr>
          <w:p w14:paraId="056D7093">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《化妆品监督管理条例》第六十一条第一款第五项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 xml:space="preserve">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                                        </w:t>
            </w:r>
          </w:p>
        </w:tc>
      </w:tr>
      <w:tr w14:paraId="7D75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jc w:val="center"/>
        </w:trPr>
        <w:tc>
          <w:tcPr>
            <w:tcW w:w="845" w:type="dxa"/>
            <w:vMerge w:val="restart"/>
            <w:tcBorders>
              <w:top w:val="single" w:color="auto" w:sz="4" w:space="0"/>
              <w:left w:val="single" w:color="auto" w:sz="4" w:space="0"/>
              <w:bottom w:val="nil"/>
              <w:right w:val="single" w:color="auto" w:sz="4" w:space="0"/>
              <w:tl2br w:val="nil"/>
              <w:tr2bl w:val="nil"/>
            </w:tcBorders>
            <w:noWrap w:val="0"/>
            <w:vAlign w:val="center"/>
          </w:tcPr>
          <w:p w14:paraId="40674D39">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25F0C">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42</w:t>
            </w:r>
          </w:p>
        </w:tc>
        <w:tc>
          <w:tcPr>
            <w:tcW w:w="1705" w:type="dxa"/>
            <w:tcBorders>
              <w:top w:val="single" w:color="auto" w:sz="4" w:space="0"/>
              <w:left w:val="nil"/>
              <w:bottom w:val="single" w:color="auto" w:sz="4" w:space="0"/>
              <w:right w:val="single" w:color="auto" w:sz="4" w:space="0"/>
              <w:tl2br w:val="nil"/>
              <w:tr2bl w:val="nil"/>
            </w:tcBorders>
            <w:noWrap w:val="0"/>
            <w:vAlign w:val="center"/>
          </w:tcPr>
          <w:p w14:paraId="3715BA45">
            <w:pPr>
              <w:widowControl/>
              <w:spacing w:beforeLines="0" w:afterLines="0" w:line="280" w:lineRule="exac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化妆品经营者未按规定建立并执行进货查验记录制度</w:t>
            </w:r>
          </w:p>
        </w:tc>
        <w:tc>
          <w:tcPr>
            <w:tcW w:w="2480" w:type="dxa"/>
            <w:tcBorders>
              <w:top w:val="single" w:color="auto" w:sz="4" w:space="0"/>
              <w:left w:val="nil"/>
              <w:bottom w:val="single" w:color="auto" w:sz="4" w:space="0"/>
              <w:right w:val="single" w:color="auto" w:sz="4" w:space="0"/>
              <w:tl2br w:val="nil"/>
              <w:tr2bl w:val="nil"/>
            </w:tcBorders>
            <w:noWrap w:val="0"/>
            <w:vAlign w:val="center"/>
          </w:tcPr>
          <w:p w14:paraId="2032A6C4">
            <w:pPr>
              <w:overflowPunct w:val="0"/>
              <w:adjustRightInd w:val="0"/>
              <w:snapToGrid w:val="0"/>
              <w:spacing w:beforeLines="0" w:afterLines="0" w:line="280" w:lineRule="exact"/>
              <w:jc w:val="left"/>
              <w:textAlignment w:val="center"/>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同时具备以下条件的：</w:t>
            </w:r>
          </w:p>
          <w:p w14:paraId="4728B999">
            <w:pPr>
              <w:overflowPunct w:val="0"/>
              <w:adjustRightInd w:val="0"/>
              <w:snapToGrid w:val="0"/>
              <w:spacing w:beforeLines="0" w:afterLines="0" w:line="280" w:lineRule="exact"/>
              <w:jc w:val="left"/>
              <w:textAlignment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经营的化妆品为合格的普通用途化妆品；</w:t>
            </w:r>
          </w:p>
          <w:p w14:paraId="41485F1C">
            <w:pPr>
              <w:widowControl/>
              <w:spacing w:beforeLines="0" w:afterLines="0" w:line="280" w:lineRule="exac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违法行为持续时间较短；</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及时改正。</w:t>
            </w:r>
          </w:p>
        </w:tc>
        <w:tc>
          <w:tcPr>
            <w:tcW w:w="4800" w:type="dxa"/>
            <w:tcBorders>
              <w:top w:val="single" w:color="auto" w:sz="4" w:space="0"/>
              <w:left w:val="nil"/>
              <w:bottom w:val="single" w:color="auto" w:sz="4" w:space="0"/>
              <w:right w:val="single" w:color="auto" w:sz="4" w:space="0"/>
              <w:tl2br w:val="nil"/>
              <w:tr2bl w:val="nil"/>
            </w:tcBorders>
            <w:noWrap w:val="0"/>
            <w:vAlign w:val="center"/>
          </w:tcPr>
          <w:p w14:paraId="09418A54">
            <w:pPr>
              <w:overflowPunct w:val="0"/>
              <w:adjustRightInd w:val="0"/>
              <w:snapToGrid w:val="0"/>
              <w:spacing w:beforeLines="0" w:afterLines="0" w:line="280" w:lineRule="exact"/>
              <w:jc w:val="left"/>
              <w:textAlignment w:val="center"/>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《化妆品监督管理条例》第三十八条第一款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694D03FF">
            <w:pPr>
              <w:widowControl/>
              <w:spacing w:beforeLines="0" w:afterLines="0" w:line="280" w:lineRule="exact"/>
              <w:rPr>
                <w:rFonts w:hint="default" w:ascii="Times New Roman" w:hAnsi="Times New Roman" w:eastAsia="方正仿宋_GBK"/>
                <w:kern w:val="0"/>
                <w:sz w:val="21"/>
                <w:szCs w:val="24"/>
              </w:rPr>
            </w:pPr>
          </w:p>
        </w:tc>
        <w:tc>
          <w:tcPr>
            <w:tcW w:w="4747" w:type="dxa"/>
            <w:tcBorders>
              <w:top w:val="nil"/>
              <w:left w:val="nil"/>
              <w:bottom w:val="single" w:color="auto" w:sz="4" w:space="0"/>
              <w:right w:val="single" w:color="auto" w:sz="4" w:space="0"/>
              <w:tl2br w:val="nil"/>
              <w:tr2bl w:val="nil"/>
            </w:tcBorders>
            <w:noWrap w:val="0"/>
            <w:vAlign w:val="top"/>
          </w:tcPr>
          <w:p w14:paraId="62FA3CC5">
            <w:pPr>
              <w:widowControl/>
              <w:spacing w:beforeLines="0" w:afterLines="0" w:line="240" w:lineRule="exac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《化妆品监督管理条例》第六十二条第一款第二项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r>
      <w:tr w14:paraId="5A2D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8" w:hRule="atLeast"/>
          <w:jc w:val="center"/>
        </w:trPr>
        <w:tc>
          <w:tcPr>
            <w:tcW w:w="845" w:type="dxa"/>
            <w:vMerge w:val="continue"/>
            <w:tcBorders>
              <w:top w:val="nil"/>
              <w:left w:val="single" w:color="auto" w:sz="4" w:space="0"/>
              <w:bottom w:val="single" w:color="auto" w:sz="4" w:space="0"/>
              <w:right w:val="single" w:color="auto" w:sz="4" w:space="0"/>
              <w:tl2br w:val="nil"/>
              <w:tr2bl w:val="nil"/>
            </w:tcBorders>
            <w:noWrap w:val="0"/>
            <w:vAlign w:val="center"/>
          </w:tcPr>
          <w:p w14:paraId="710499C6">
            <w:pPr>
              <w:widowControl/>
              <w:spacing w:beforeLines="0" w:afterLines="0" w:line="320" w:lineRule="exact"/>
              <w:jc w:val="left"/>
              <w:rPr>
                <w:rFonts w:hint="default" w:ascii="Times New Roman" w:hAnsi="Times New Roman" w:eastAsia="方正黑体_GBK"/>
                <w:kern w:val="0"/>
                <w:sz w:val="24"/>
                <w:szCs w:val="24"/>
              </w:rPr>
            </w:pPr>
          </w:p>
        </w:tc>
        <w:tc>
          <w:tcPr>
            <w:tcW w:w="791" w:type="dxa"/>
            <w:tcBorders>
              <w:top w:val="nil"/>
              <w:left w:val="single" w:color="auto" w:sz="4" w:space="0"/>
              <w:bottom w:val="single" w:color="auto" w:sz="4" w:space="0"/>
              <w:right w:val="single" w:color="auto" w:sz="4" w:space="0"/>
              <w:tl2br w:val="nil"/>
              <w:tr2bl w:val="nil"/>
            </w:tcBorders>
            <w:noWrap w:val="0"/>
            <w:vAlign w:val="center"/>
          </w:tcPr>
          <w:p w14:paraId="423AE381">
            <w:pPr>
              <w:widowControl/>
              <w:spacing w:beforeLines="0" w:afterLines="0" w:line="32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43</w:t>
            </w:r>
          </w:p>
        </w:tc>
        <w:tc>
          <w:tcPr>
            <w:tcW w:w="1705" w:type="dxa"/>
            <w:tcBorders>
              <w:top w:val="nil"/>
              <w:left w:val="nil"/>
              <w:bottom w:val="single" w:color="auto" w:sz="4" w:space="0"/>
              <w:right w:val="single" w:color="auto" w:sz="4" w:space="0"/>
              <w:tl2br w:val="nil"/>
              <w:tr2bl w:val="nil"/>
            </w:tcBorders>
            <w:noWrap w:val="0"/>
            <w:vAlign w:val="center"/>
          </w:tcPr>
          <w:p w14:paraId="6AB99842">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经营超过使用期限的化妆品</w:t>
            </w:r>
          </w:p>
        </w:tc>
        <w:tc>
          <w:tcPr>
            <w:tcW w:w="2480" w:type="dxa"/>
            <w:tcBorders>
              <w:top w:val="nil"/>
              <w:left w:val="nil"/>
              <w:bottom w:val="single" w:color="auto" w:sz="4" w:space="0"/>
              <w:right w:val="single" w:color="auto" w:sz="4" w:space="0"/>
              <w:tl2br w:val="nil"/>
              <w:tr2bl w:val="nil"/>
            </w:tcBorders>
            <w:noWrap w:val="0"/>
            <w:vAlign w:val="center"/>
          </w:tcPr>
          <w:p w14:paraId="68244F6E">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759252FD">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p>
          <w:p w14:paraId="456259EA">
            <w:pPr>
              <w:pStyle w:val="2"/>
              <w:adjustRightInd w:val="0"/>
              <w:snapToGrid w:val="0"/>
              <w:spacing w:beforeLines="0" w:afterLines="0" w:line="300" w:lineRule="exact"/>
              <w:ind w:firstLine="0" w:firstLineChars="0"/>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超过保质期限较短；</w:t>
            </w:r>
          </w:p>
          <w:p w14:paraId="726B1AF4">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货值金额较小；               </w:t>
            </w:r>
          </w:p>
          <w:p w14:paraId="7A39841E">
            <w:pPr>
              <w:pStyle w:val="2"/>
              <w:adjustRightInd w:val="0"/>
              <w:snapToGrid w:val="0"/>
              <w:spacing w:beforeLines="0" w:afterLines="0" w:line="300" w:lineRule="exact"/>
              <w:ind w:firstLine="0" w:firstLineChars="0"/>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没有对人体健康造成损害；</w:t>
            </w:r>
          </w:p>
          <w:p w14:paraId="3598947C">
            <w:pPr>
              <w:widowControl/>
              <w:spacing w:beforeLines="0" w:afterLines="0" w:line="32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nil"/>
              <w:left w:val="nil"/>
              <w:bottom w:val="single" w:color="auto" w:sz="4" w:space="0"/>
              <w:right w:val="single" w:color="auto" w:sz="4" w:space="0"/>
              <w:tl2br w:val="nil"/>
              <w:tr2bl w:val="nil"/>
            </w:tcBorders>
            <w:noWrap w:val="0"/>
            <w:vAlign w:val="center"/>
          </w:tcPr>
          <w:p w14:paraId="719166B4">
            <w:pPr>
              <w:widowControl/>
              <w:spacing w:beforeLines="0" w:afterLines="0" w:line="32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《化妆品监督管理条例》第三十九条</w:t>
            </w:r>
            <w:r>
              <w:rPr>
                <w:rFonts w:hint="eastAsia" w:ascii="Times New Roman" w:hAnsi="Times New Roman" w:eastAsia="方正仿宋_GBK"/>
                <w:kern w:val="0"/>
                <w:sz w:val="21"/>
                <w:szCs w:val="24"/>
              </w:rPr>
              <w:t xml:space="preserve">　化妆品生产经营者应当依照有关法律、法规的规定和化妆品标签标示的要求贮存、运输化妆品，定期检查并及时处理变质或者超过使用期限的化妆品。  </w:t>
            </w:r>
          </w:p>
        </w:tc>
        <w:tc>
          <w:tcPr>
            <w:tcW w:w="4747" w:type="dxa"/>
            <w:tcBorders>
              <w:top w:val="nil"/>
              <w:left w:val="nil"/>
              <w:bottom w:val="single" w:color="auto" w:sz="4" w:space="0"/>
              <w:right w:val="single" w:color="auto" w:sz="4" w:space="0"/>
              <w:tl2br w:val="nil"/>
              <w:tr2bl w:val="nil"/>
            </w:tcBorders>
            <w:noWrap w:val="0"/>
            <w:vAlign w:val="center"/>
          </w:tcPr>
          <w:p w14:paraId="105ED6AE">
            <w:pPr>
              <w:widowControl/>
              <w:spacing w:beforeLines="0" w:afterLines="0" w:line="24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《化妆品监督管理条例》第六十条第五项</w:t>
            </w:r>
            <w:r>
              <w:rPr>
                <w:rFonts w:hint="eastAsia" w:ascii="Times New Roman" w:hAnsi="Times New Roman" w:eastAsia="方正仿宋_GBK"/>
                <w:kern w:val="0"/>
                <w:sz w:val="21"/>
                <w:szCs w:val="24"/>
              </w:rPr>
              <w:t>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Times New Roman" w:hAnsi="Times New Roman" w:eastAsia="方正仿宋_GBK"/>
                <w:w w:val="95"/>
                <w:kern w:val="0"/>
                <w:sz w:val="21"/>
                <w:szCs w:val="24"/>
              </w:rPr>
              <w:t>（五）化妆品经营者擅自配制化妆品，或者经营变质、超过使用期限的化妆品。</w:t>
            </w:r>
          </w:p>
        </w:tc>
      </w:tr>
      <w:tr w14:paraId="5A36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jc w:val="center"/>
        </w:trPr>
        <w:tc>
          <w:tcPr>
            <w:tcW w:w="845" w:type="dxa"/>
            <w:tcBorders>
              <w:top w:val="single" w:color="auto" w:sz="4" w:space="0"/>
              <w:left w:val="single" w:color="auto" w:sz="4" w:space="0"/>
              <w:bottom w:val="nil"/>
              <w:right w:val="single" w:color="auto" w:sz="4" w:space="0"/>
              <w:tl2br w:val="nil"/>
              <w:tr2bl w:val="nil"/>
            </w:tcBorders>
            <w:noWrap w:val="0"/>
            <w:vAlign w:val="center"/>
          </w:tcPr>
          <w:p w14:paraId="368DBFA8">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黑体_GBK"/>
                <w:kern w:val="0"/>
                <w:sz w:val="24"/>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67D22">
            <w:pPr>
              <w:keepNext w:val="0"/>
              <w:keepLines w:val="0"/>
              <w:pageBreakBefore w:val="0"/>
              <w:widowControl/>
              <w:kinsoku/>
              <w:wordWrap/>
              <w:overflowPunct/>
              <w:topLinePunct w:val="0"/>
              <w:autoSpaceDE/>
              <w:autoSpaceDN/>
              <w:bidi w:val="0"/>
              <w:adjustRightInd w:val="0"/>
              <w:snapToGrid w:val="0"/>
              <w:spacing w:beforeLines="0" w:afterLines="0" w:line="240" w:lineRule="exact"/>
              <w:jc w:val="center"/>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44</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E7068">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highlight w:val="yellow"/>
              </w:rPr>
            </w:pPr>
            <w:r>
              <w:rPr>
                <w:rFonts w:hint="eastAsia" w:ascii="Times New Roman" w:hAnsi="Times New Roman" w:eastAsia="方正仿宋_GBK"/>
                <w:kern w:val="0"/>
                <w:sz w:val="21"/>
                <w:szCs w:val="24"/>
              </w:rPr>
              <w:t>经营说明书、标签不符合规定的医疗器械</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843B6">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经营的医疗器械符合强制性标准或经注册或者备案的产品技术要求；</w:t>
            </w:r>
          </w:p>
          <w:p w14:paraId="20E308DA">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不影响使用；</w:t>
            </w:r>
          </w:p>
          <w:p w14:paraId="47AFCA96">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能够提供合法进货来源；</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没有对人体健康造成损害；</w:t>
            </w:r>
          </w:p>
          <w:p w14:paraId="6F25C5DF">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及时改正。</w:t>
            </w:r>
          </w:p>
        </w:tc>
        <w:tc>
          <w:tcPr>
            <w:tcW w:w="4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B4C76">
            <w:pPr>
              <w:keepNext w:val="0"/>
              <w:keepLines w:val="0"/>
              <w:pageBreakBefore w:val="0"/>
              <w:widowControl/>
              <w:kinsoku/>
              <w:wordWrap/>
              <w:overflowPunct/>
              <w:topLinePunct w:val="0"/>
              <w:autoSpaceDE/>
              <w:autoSpaceDN/>
              <w:bidi w:val="0"/>
              <w:adjustRightInd w:val="0"/>
              <w:snapToGrid w:val="0"/>
              <w:spacing w:beforeLines="0" w:afterLines="0" w:line="23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《医疗器械监督管理条例》第三十九条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医疗器械应当有说明书、标签。说明书、标签的内容应当与经注册或者备案的相关内容一致，确保真实、准确。</w:t>
            </w:r>
          </w:p>
          <w:p w14:paraId="3E21AFAF">
            <w:pPr>
              <w:keepNext w:val="0"/>
              <w:keepLines w:val="0"/>
              <w:pageBreakBefore w:val="0"/>
              <w:widowControl/>
              <w:kinsoku/>
              <w:wordWrap/>
              <w:overflowPunct/>
              <w:topLinePunct w:val="0"/>
              <w:autoSpaceDE/>
              <w:autoSpaceDN/>
              <w:bidi w:val="0"/>
              <w:adjustRightInd w:val="0"/>
              <w:snapToGrid w:val="0"/>
              <w:spacing w:beforeLines="0" w:afterLines="0" w:line="23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医疗器械的说明书、标签应当标明下列事项：（一）通用名称、型号、规格；（二）医疗器械注册人、备案人、受托生产企业的名称、地址以及联系方式；（三）生产日期，使用期限或者失效日期；（四）产品性能、主要结构、适用范围；（五）禁忌、注意事项以及其他需要警示或者提示的内容；（六）安装和使用说明或者图示；（七）维护和保养方法，特殊运输、贮存的条件、方法；（八）产品技术要求规定应当标明的其他内容。</w:t>
            </w:r>
          </w:p>
          <w:p w14:paraId="7F17089A">
            <w:pPr>
              <w:keepNext w:val="0"/>
              <w:keepLines w:val="0"/>
              <w:pageBreakBefore w:val="0"/>
              <w:widowControl/>
              <w:kinsoku/>
              <w:wordWrap/>
              <w:overflowPunct/>
              <w:topLinePunct w:val="0"/>
              <w:autoSpaceDE/>
              <w:autoSpaceDN/>
              <w:bidi w:val="0"/>
              <w:adjustRightInd w:val="0"/>
              <w:snapToGrid w:val="0"/>
              <w:spacing w:beforeLines="0" w:afterLines="0" w:line="23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　　第二类、第三类医疗器械还应当标明医疗器械注册证编号。</w:t>
            </w:r>
          </w:p>
          <w:p w14:paraId="1CB0F2BB">
            <w:pPr>
              <w:keepNext w:val="0"/>
              <w:keepLines w:val="0"/>
              <w:pageBreakBefore w:val="0"/>
              <w:widowControl/>
              <w:kinsoku/>
              <w:wordWrap/>
              <w:overflowPunct/>
              <w:topLinePunct w:val="0"/>
              <w:autoSpaceDE/>
              <w:autoSpaceDN/>
              <w:bidi w:val="0"/>
              <w:adjustRightInd w:val="0"/>
              <w:snapToGrid w:val="0"/>
              <w:spacing w:beforeLines="0" w:afterLines="0" w:line="23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　　由消费者个人自行使用的医疗器械还应当具有安全使用的特别说明。</w:t>
            </w:r>
          </w:p>
        </w:tc>
        <w:tc>
          <w:tcPr>
            <w:tcW w:w="4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1CC35">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《医疗器械监督管理条例》第八十八条第二项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w:t>
            </w:r>
          </w:p>
        </w:tc>
      </w:tr>
      <w:tr w14:paraId="4CD6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jc w:val="center"/>
        </w:trPr>
        <w:tc>
          <w:tcPr>
            <w:tcW w:w="845" w:type="dxa"/>
            <w:tcBorders>
              <w:top w:val="nil"/>
              <w:left w:val="single" w:color="auto" w:sz="4" w:space="0"/>
              <w:bottom w:val="single" w:color="auto" w:sz="4" w:space="0"/>
              <w:right w:val="single" w:color="auto" w:sz="4" w:space="0"/>
              <w:tl2br w:val="nil"/>
              <w:tr2bl w:val="nil"/>
            </w:tcBorders>
            <w:noWrap w:val="0"/>
            <w:vAlign w:val="center"/>
          </w:tcPr>
          <w:p w14:paraId="1CE87BEA">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黑体_GBK"/>
                <w:kern w:val="0"/>
                <w:sz w:val="24"/>
                <w:szCs w:val="24"/>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F94A8">
            <w:pPr>
              <w:keepNext w:val="0"/>
              <w:keepLines w:val="0"/>
              <w:pageBreakBefore w:val="0"/>
              <w:widowControl/>
              <w:kinsoku/>
              <w:wordWrap/>
              <w:overflowPunct/>
              <w:topLinePunct w:val="0"/>
              <w:autoSpaceDE/>
              <w:autoSpaceDN/>
              <w:bidi w:val="0"/>
              <w:adjustRightInd w:val="0"/>
              <w:snapToGrid w:val="0"/>
              <w:spacing w:beforeLines="0" w:afterLines="0" w:line="240" w:lineRule="exact"/>
              <w:jc w:val="center"/>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45</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7F86A">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未经许可从事第三类医疗器械经营活动</w:t>
            </w:r>
          </w:p>
        </w:tc>
        <w:tc>
          <w:tcPr>
            <w:tcW w:w="24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AB840">
            <w:pPr>
              <w:pStyle w:val="2"/>
              <w:keepNext w:val="0"/>
              <w:keepLines w:val="0"/>
              <w:pageBreakBefore w:val="0"/>
              <w:kinsoku/>
              <w:wordWrap/>
              <w:overflowPunct/>
              <w:topLinePunct w:val="0"/>
              <w:autoSpaceDE/>
              <w:autoSpaceDN/>
              <w:bidi w:val="0"/>
              <w:adjustRightInd w:val="0"/>
              <w:snapToGrid w:val="0"/>
              <w:spacing w:beforeLines="0" w:afterLines="0" w:line="240" w:lineRule="exact"/>
              <w:ind w:firstLine="0" w:firstLineChars="0"/>
              <w:textAlignment w:val="auto"/>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同时具备以下条件：</w:t>
            </w:r>
          </w:p>
          <w:p w14:paraId="249BF634">
            <w:pPr>
              <w:pStyle w:val="2"/>
              <w:keepNext w:val="0"/>
              <w:keepLines w:val="0"/>
              <w:pageBreakBefore w:val="0"/>
              <w:kinsoku/>
              <w:wordWrap/>
              <w:overflowPunct/>
              <w:topLinePunct w:val="0"/>
              <w:autoSpaceDE/>
              <w:autoSpaceDN/>
              <w:bidi w:val="0"/>
              <w:adjustRightInd w:val="0"/>
              <w:snapToGrid w:val="0"/>
              <w:spacing w:beforeLines="0" w:afterLines="0" w:line="240" w:lineRule="exact"/>
              <w:ind w:firstLine="0" w:firstLineChars="0"/>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初次违法；</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 xml:space="preserve">违法行为持续时间较短；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 xml:space="preserve">医疗器械可溯源，系国内已合法上市医疗器械；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4.</w:t>
            </w:r>
            <w:r>
              <w:rPr>
                <w:rFonts w:hint="eastAsia" w:ascii="Times New Roman" w:hAnsi="Times New Roman" w:eastAsia="方正仿宋_GBK"/>
                <w:kern w:val="0"/>
                <w:sz w:val="21"/>
                <w:szCs w:val="24"/>
              </w:rPr>
              <w:t xml:space="preserve">货值金额较小；                </w:t>
            </w:r>
            <w:r>
              <w:rPr>
                <w:rFonts w:hint="default" w:ascii="Times New Roman" w:hAnsi="Times New Roman" w:eastAsia="方正仿宋_GBK"/>
                <w:kern w:val="0"/>
                <w:sz w:val="21"/>
                <w:szCs w:val="24"/>
              </w:rPr>
              <w:br w:type="textWrapping"/>
            </w:r>
            <w:r>
              <w:rPr>
                <w:rFonts w:hint="default" w:ascii="Times New Roman" w:hAnsi="Times New Roman" w:eastAsia="方正仿宋_GBK"/>
                <w:kern w:val="0"/>
                <w:sz w:val="21"/>
                <w:szCs w:val="24"/>
              </w:rPr>
              <w:t>5.</w:t>
            </w:r>
            <w:r>
              <w:rPr>
                <w:rFonts w:hint="eastAsia" w:ascii="Times New Roman" w:hAnsi="Times New Roman" w:eastAsia="方正仿宋_GBK"/>
                <w:kern w:val="0"/>
                <w:sz w:val="21"/>
                <w:szCs w:val="24"/>
              </w:rPr>
              <w:t>没有对人体健康造成损害；</w:t>
            </w:r>
          </w:p>
          <w:p w14:paraId="389D03E2">
            <w:pPr>
              <w:pStyle w:val="2"/>
              <w:keepNext w:val="0"/>
              <w:keepLines w:val="0"/>
              <w:pageBreakBefore w:val="0"/>
              <w:kinsoku/>
              <w:wordWrap/>
              <w:overflowPunct/>
              <w:topLinePunct w:val="0"/>
              <w:autoSpaceDE/>
              <w:autoSpaceDN/>
              <w:bidi w:val="0"/>
              <w:adjustRightInd w:val="0"/>
              <w:snapToGrid w:val="0"/>
              <w:spacing w:beforeLines="0" w:afterLines="0" w:line="240" w:lineRule="exact"/>
              <w:ind w:firstLine="0" w:firstLineChars="0"/>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r>
              <w:rPr>
                <w:rFonts w:hint="eastAsia" w:ascii="Times New Roman" w:hAnsi="Times New Roman" w:eastAsia="方正仿宋_GBK"/>
                <w:kern w:val="0"/>
                <w:sz w:val="21"/>
                <w:szCs w:val="24"/>
              </w:rPr>
              <w:t>及时改正。</w:t>
            </w:r>
          </w:p>
        </w:tc>
        <w:tc>
          <w:tcPr>
            <w:tcW w:w="4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F8A1C">
            <w:pPr>
              <w:keepNext w:val="0"/>
              <w:keepLines w:val="0"/>
              <w:pageBreakBefore w:val="0"/>
              <w:widowControl/>
              <w:kinsoku/>
              <w:wordWrap/>
              <w:overflowPunct/>
              <w:topLinePunct w:val="0"/>
              <w:autoSpaceDE/>
              <w:autoSpaceDN/>
              <w:bidi w:val="0"/>
              <w:adjustRightInd w:val="0"/>
              <w:snapToGrid w:val="0"/>
              <w:spacing w:beforeLines="0" w:afterLines="0" w:line="24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《医疗器械监督管理条例》第四十二条第一款</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从事第三类医疗器械经营的，经营企业应当向所在地设区的市级人民政府负责药品监督管理的部门申请经营许可并提交符合本条例第四十条规定条件的有关资料。</w:t>
            </w:r>
          </w:p>
        </w:tc>
        <w:tc>
          <w:tcPr>
            <w:tcW w:w="4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BFBEE">
            <w:pPr>
              <w:keepNext w:val="0"/>
              <w:keepLines w:val="0"/>
              <w:pageBreakBefore w:val="0"/>
              <w:widowControl/>
              <w:kinsoku/>
              <w:wordWrap/>
              <w:overflowPunct/>
              <w:topLinePunct w:val="0"/>
              <w:autoSpaceDE/>
              <w:autoSpaceDN/>
              <w:bidi w:val="0"/>
              <w:adjustRightInd w:val="0"/>
              <w:snapToGrid w:val="0"/>
              <w:spacing w:beforeLines="0" w:afterLines="0" w:line="230" w:lineRule="exac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《医疗器械监督管理条例》第八十一条第一款第三项</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w:t>
            </w:r>
          </w:p>
        </w:tc>
      </w:tr>
    </w:tbl>
    <w:p w14:paraId="54A884B8">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388" w:leftChars="-382" w:hanging="746" w:hangingChars="251"/>
        <w:textAlignment w:val="auto"/>
        <w:rPr>
          <w:rFonts w:hint="eastAsia" w:ascii="Times New Roman" w:hAnsi="Times New Roman" w:eastAsia="方正黑体_GBK"/>
          <w:kern w:val="0"/>
          <w:sz w:val="32"/>
          <w:szCs w:val="24"/>
        </w:rPr>
      </w:pPr>
      <w:r>
        <w:rPr>
          <w:rFonts w:hint="default" w:ascii="Times New Roman" w:hAnsi="Times New Roman" w:eastAsia="方正黑体_GBK"/>
          <w:kern w:val="0"/>
          <w:sz w:val="32"/>
          <w:szCs w:val="24"/>
        </w:rPr>
        <w:br w:type="page"/>
      </w:r>
      <w:r>
        <w:rPr>
          <w:rFonts w:hint="eastAsia" w:ascii="Times New Roman" w:hAnsi="Times New Roman" w:eastAsia="方正黑体_GBK"/>
          <w:kern w:val="0"/>
          <w:sz w:val="32"/>
          <w:szCs w:val="24"/>
        </w:rPr>
        <w:t>附件3</w:t>
      </w:r>
    </w:p>
    <w:p w14:paraId="0F9201D6">
      <w:pPr>
        <w:spacing w:beforeLines="0" w:afterLines="0" w:line="420" w:lineRule="exact"/>
        <w:rPr>
          <w:rFonts w:hint="default" w:ascii="Times New Roman" w:hAnsi="Times New Roman" w:eastAsia="方正黑体_GBK"/>
          <w:kern w:val="0"/>
          <w:sz w:val="32"/>
          <w:szCs w:val="24"/>
        </w:rPr>
      </w:pPr>
    </w:p>
    <w:p w14:paraId="0E28C33A">
      <w:pPr>
        <w:spacing w:beforeLines="0" w:afterLines="0" w:line="500" w:lineRule="exact"/>
        <w:jc w:val="center"/>
        <w:rPr>
          <w:rFonts w:hint="default" w:ascii="Times New Roman" w:hAnsi="Times New Roman" w:eastAsia="方正小标宋_GBK"/>
          <w:kern w:val="0"/>
          <w:sz w:val="44"/>
          <w:szCs w:val="24"/>
        </w:rPr>
      </w:pPr>
      <w:r>
        <w:rPr>
          <w:rFonts w:hint="eastAsia" w:ascii="Times New Roman" w:hAnsi="Times New Roman" w:eastAsia="方正小标宋_GBK"/>
          <w:kern w:val="0"/>
          <w:sz w:val="44"/>
          <w:szCs w:val="24"/>
        </w:rPr>
        <w:t>连云港市市场监管领域轻微违法行为不予强制清单（</w:t>
      </w:r>
      <w:r>
        <w:rPr>
          <w:rFonts w:hint="default" w:ascii="Times New Roman" w:hAnsi="Times New Roman" w:eastAsia="方正小标宋_GBK"/>
          <w:kern w:val="0"/>
          <w:sz w:val="44"/>
          <w:szCs w:val="24"/>
        </w:rPr>
        <w:t>2025</w:t>
      </w:r>
      <w:r>
        <w:rPr>
          <w:rFonts w:hint="eastAsia" w:ascii="Times New Roman" w:hAnsi="Times New Roman" w:eastAsia="方正小标宋_GBK"/>
          <w:kern w:val="0"/>
          <w:sz w:val="44"/>
          <w:szCs w:val="24"/>
        </w:rPr>
        <w:t>年版）</w:t>
      </w:r>
    </w:p>
    <w:p w14:paraId="6E4BB9D1">
      <w:pPr>
        <w:spacing w:beforeLines="0" w:afterLines="0" w:line="500" w:lineRule="exact"/>
        <w:jc w:val="center"/>
        <w:rPr>
          <w:rFonts w:hint="default" w:ascii="Times New Roman" w:hAnsi="Times New Roman" w:eastAsia="方正小标宋_GBK"/>
          <w:kern w:val="0"/>
          <w:sz w:val="44"/>
          <w:szCs w:val="24"/>
        </w:rPr>
      </w:pPr>
    </w:p>
    <w:tbl>
      <w:tblPr>
        <w:tblStyle w:val="9"/>
        <w:tblW w:w="14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3804"/>
        <w:gridCol w:w="3969"/>
        <w:gridCol w:w="6175"/>
      </w:tblGrid>
      <w:tr w14:paraId="095A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blHeader/>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BFDF3">
            <w:pPr>
              <w:widowControl/>
              <w:spacing w:beforeLines="0" w:afterLines="0" w:line="320" w:lineRule="exact"/>
              <w:jc w:val="center"/>
              <w:rPr>
                <w:rFonts w:hint="default" w:ascii="Times New Roman" w:hAnsi="Times New Roman" w:eastAsia="方正黑体_GBK"/>
                <w:kern w:val="0"/>
                <w:sz w:val="24"/>
                <w:szCs w:val="24"/>
              </w:rPr>
            </w:pPr>
            <w:r>
              <w:rPr>
                <w:rFonts w:hint="eastAsia" w:ascii="Times New Roman" w:hAnsi="Times New Roman" w:eastAsia="方正黑体_GBK"/>
                <w:kern w:val="0"/>
                <w:sz w:val="24"/>
                <w:szCs w:val="24"/>
              </w:rPr>
              <w:t>序号</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6CD8FF50">
            <w:pPr>
              <w:spacing w:beforeLines="0" w:afterLines="0"/>
              <w:jc w:val="center"/>
              <w:rPr>
                <w:rFonts w:hint="eastAsia" w:ascii="方正黑体_GBK" w:hAnsi="黑体" w:eastAsia="方正黑体_GBK" w:cs="宋体"/>
                <w:sz w:val="24"/>
                <w:szCs w:val="24"/>
              </w:rPr>
            </w:pPr>
            <w:r>
              <w:rPr>
                <w:rFonts w:hint="eastAsia" w:ascii="方正黑体_GBK" w:hAnsi="黑体" w:eastAsia="方正黑体_GBK"/>
                <w:sz w:val="24"/>
                <w:szCs w:val="24"/>
              </w:rPr>
              <w:t>强制措施</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11D80BD8">
            <w:pPr>
              <w:spacing w:beforeLines="0" w:afterLines="0"/>
              <w:jc w:val="center"/>
              <w:rPr>
                <w:rFonts w:hint="eastAsia" w:ascii="方正黑体_GBK" w:hAnsi="黑体" w:eastAsia="方正黑体_GBK" w:cs="宋体"/>
                <w:sz w:val="24"/>
                <w:szCs w:val="24"/>
              </w:rPr>
            </w:pPr>
            <w:r>
              <w:rPr>
                <w:rFonts w:hint="eastAsia" w:ascii="方正黑体_GBK" w:hAnsi="黑体" w:eastAsia="方正黑体_GBK"/>
                <w:sz w:val="24"/>
                <w:szCs w:val="24"/>
              </w:rPr>
              <w:t>适用条件</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12F54B52">
            <w:pPr>
              <w:spacing w:beforeLines="0" w:afterLines="0"/>
              <w:jc w:val="center"/>
              <w:rPr>
                <w:rFonts w:hint="eastAsia" w:ascii="方正黑体_GBK" w:hAnsi="黑体" w:eastAsia="方正黑体_GBK" w:cs="宋体"/>
                <w:sz w:val="24"/>
                <w:szCs w:val="24"/>
              </w:rPr>
            </w:pPr>
            <w:r>
              <w:rPr>
                <w:rFonts w:hint="eastAsia" w:ascii="方正黑体_GBK" w:hAnsi="黑体" w:eastAsia="方正黑体_GBK"/>
                <w:sz w:val="24"/>
                <w:szCs w:val="24"/>
              </w:rPr>
              <w:t>设定依据</w:t>
            </w:r>
          </w:p>
        </w:tc>
      </w:tr>
      <w:tr w14:paraId="0E51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1B660">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5BBECDC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封存涉嫌违反中华人民共和国计量法实施细则的计量器具新产品</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11FE8B4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68E8622B">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1E408413">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《中华人民共和国计量法实施细则》第四十四条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制造、 销售未经型式批准或样机试验合格的计量器具新产品的，责令其停止制造、销售，封存该种新产品，没收全部违法所得，可并处3000元以下的罚款。</w:t>
            </w:r>
          </w:p>
        </w:tc>
      </w:tr>
      <w:tr w14:paraId="3374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BE73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3F0346A8">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查封、扣押涉嫌在广告中使用“国家级”“最高级”“最佳”等用语与违法广告直接相关的广告物品、经营工具、设备等财物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68B0CF0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79032A6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广告主在自有经营场所或者互联网自媒体发布;</w:t>
            </w:r>
          </w:p>
          <w:p w14:paraId="34AB8225">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609DCD2C">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3CC4BE00">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76D5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C82E5">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486138F1">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查封、扣押涉嫌通过大众传播媒介发布广告未显著标明“广告”与违法广告直接相关的广告物品、经营工具、设备等财物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54C43DB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3D5EA610">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10599EF5">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114C118F">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646A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42B2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4</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24E33EEC">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查封、扣押涉嫌未标明专利号与违法广告直接相关的广告物品、经营工具、设备等财物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278361B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73CD87FE">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专利有效或者及时继费后有效;</w:t>
            </w:r>
          </w:p>
          <w:p w14:paraId="0DE6AD6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019DE843">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11786787">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4030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3AB8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5</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15EDF3BF">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查封、扣押涉嫌未在广告中表明出处与违法广告直接相关的广告物品、经营工具、设备等财物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5152947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6E096BFB">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广告引证内容真实、准确;</w:t>
            </w:r>
          </w:p>
          <w:p w14:paraId="147FFE0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281F50E4">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59D5008E">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3277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98168">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6</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2DDA9F4B">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查封、扣押涉嫌广告用语用字未按规定使用普通话和规范汉字与违法广告直接相关的广告物品、经营工具、设备等财物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0868CC57">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5714000A">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4F93761B">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4B406F2C">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21DA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B6A69">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7</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702C7F8D">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查封、扣押涉嫌发布农药广告未将广告批准文号列为广告内容同时发布与违法广告直接相关的广告物品、经营工具、设备等财物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3C51D73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405102AB">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已取得批准文号;</w:t>
            </w:r>
          </w:p>
          <w:p w14:paraId="0F1F13B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4618FB73">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65E21571">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54E0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424EA">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8</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1DE92A18">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查封、扣押涉嫌发布兽药广告未将广告批准文号列为广告内容同时发布与违法广告直接相关的广告物品、经营工具、设备等财物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00B302C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2A47A7DF">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已取得批准文号;</w:t>
            </w:r>
          </w:p>
          <w:p w14:paraId="19C5588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57400F59">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77F32379">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6812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1AC24">
            <w:pPr>
              <w:widowControl/>
              <w:spacing w:beforeLines="0" w:afterLines="0" w:line="280" w:lineRule="exact"/>
              <w:jc w:val="center"/>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9</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0FF38452">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查封、扣押涉嫌超过审批有效期发布医疗、药品、医疗器械、农药、兽药、保健食品广告与违法广告直接相关的广告物品、经营工具、设备等财物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3F39AB0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79C5AF64">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已过广告审批有效期但逾期未超过三个月;</w:t>
            </w:r>
          </w:p>
          <w:p w14:paraId="4D62BFB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264A24F6">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3940CF75">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1DAA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0C9CD">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10</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27AA8D31">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查封、扣押涉嫌发布医疗广告未标注医疗机构第一名称或《医疗广告审查证明》文号与违法广告直接相关的广告物品、经营工具、设备等财物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2B45E26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7098B47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系通过广告主自有经营场所或者互联网自媒体发布;</w:t>
            </w:r>
          </w:p>
          <w:p w14:paraId="4E6ABD48">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63BC971B">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6E9E1DB4">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3CE8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ECA16">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11</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257703BF">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查封、扣押涉嫌房地产广告未载明预售或者销售许可证书号与违法广告直接相关的广告物品、经营工具、设备等财物</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5A93B835">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36F3152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已取得预售或者销售许可证;</w:t>
            </w:r>
          </w:p>
          <w:p w14:paraId="5F775E97">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779F722E">
            <w:pPr>
              <w:widowControl/>
              <w:spacing w:beforeLines="0" w:afterLines="0" w:line="260" w:lineRule="exact"/>
              <w:jc w:val="left"/>
              <w:rPr>
                <w:rFonts w:hint="eastAsia" w:ascii="Times New Roman" w:hAnsi="Times New Roman" w:eastAsia="方正仿宋_GBK"/>
                <w:kern w:val="0"/>
                <w:sz w:val="21"/>
                <w:szCs w:val="24"/>
              </w:rPr>
            </w:pPr>
            <w:r>
              <w:rPr>
                <w:rFonts w:hint="eastAsia" w:ascii="Times New Roman" w:hAnsi="Times New Roman" w:eastAsia="方正仿宋_GBK"/>
                <w:b/>
                <w:kern w:val="0"/>
                <w:sz w:val="21"/>
                <w:szCs w:val="24"/>
              </w:rPr>
              <w:t xml:space="preserve">《中华人民共和国广告法》第四十九条  </w:t>
            </w:r>
            <w:r>
              <w:rPr>
                <w:rFonts w:hint="eastAsia" w:ascii="Times New Roman" w:hAnsi="Times New Roman" w:eastAsia="方正仿宋_GBK"/>
                <w:kern w:val="0"/>
                <w:sz w:val="21"/>
                <w:szCs w:val="24"/>
              </w:rPr>
              <w:t>市场监督管理部门履行广告监督管理职责，可以行使下列职权：（五）查封、扣押与涉嫌违法广告直接相关的广告物品、经营工具、设备等财物。</w:t>
            </w:r>
          </w:p>
          <w:p w14:paraId="0FA498DD">
            <w:pPr>
              <w:widowControl/>
              <w:spacing w:beforeLines="0" w:afterLines="0" w:line="260" w:lineRule="exact"/>
              <w:jc w:val="left"/>
              <w:rPr>
                <w:rFonts w:hint="default" w:ascii="Times New Roman" w:hAnsi="Times New Roman" w:eastAsia="方正仿宋_GBK"/>
                <w:b/>
                <w:kern w:val="0"/>
                <w:sz w:val="21"/>
                <w:szCs w:val="24"/>
              </w:rPr>
            </w:pPr>
            <w:r>
              <w:rPr>
                <w:rFonts w:hint="eastAsia" w:ascii="Times New Roman" w:hAnsi="Times New Roman" w:eastAsia="方正仿宋_GBK"/>
                <w:b/>
                <w:kern w:val="0"/>
                <w:sz w:val="21"/>
                <w:szCs w:val="24"/>
              </w:rPr>
              <w:t>《江苏省广告条例》第四十五条</w:t>
            </w:r>
            <w:r>
              <w:rPr>
                <w:rFonts w:hint="default" w:ascii="Times New Roman" w:hAnsi="Times New Roman" w:eastAsia="方正仿宋_GBK"/>
                <w:kern w:val="0"/>
                <w:sz w:val="21"/>
                <w:szCs w:val="24"/>
              </w:rPr>
              <w:t xml:space="preserve">  </w:t>
            </w:r>
            <w:r>
              <w:rPr>
                <w:rFonts w:hint="eastAsia" w:ascii="Times New Roman" w:hAnsi="Times New Roman" w:eastAsia="方正仿宋_GBK"/>
                <w:kern w:val="0"/>
                <w:sz w:val="21"/>
                <w:szCs w:val="24"/>
              </w:rPr>
              <w:t>市场监督管理部门在查处涉嫌违法广告和广告活动时，依法行使下列职权：（三）检查与涉嫌违法广告和广告活动有关的场所、财物，查封或者扣押与涉嫌违法广告直接有关的财物。</w:t>
            </w:r>
          </w:p>
        </w:tc>
      </w:tr>
      <w:tr w14:paraId="08CF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A7AE8">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12</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13ACA4E5">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查封、扣押标签、说明书违法的食品相关产品；查封违法从事生产经营活动的场所</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33BE9E2D">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首次被发现;</w:t>
            </w:r>
          </w:p>
          <w:p w14:paraId="11E24E72">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生产经营的食品、食品添加剂的标签、说明书存在瑕疵，不影响食品安全;</w:t>
            </w:r>
          </w:p>
          <w:p w14:paraId="5553E25C">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3.</w:t>
            </w:r>
            <w:r>
              <w:rPr>
                <w:rFonts w:hint="eastAsia" w:ascii="Times New Roman" w:hAnsi="Times New Roman" w:eastAsia="方正仿宋_GBK"/>
                <w:kern w:val="0"/>
                <w:sz w:val="21"/>
                <w:szCs w:val="24"/>
              </w:rPr>
              <w:t>自行纠正或者在责令限期内改正。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05A859F4">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b/>
                <w:kern w:val="0"/>
                <w:sz w:val="21"/>
                <w:szCs w:val="24"/>
              </w:rPr>
              <w:t>《中华人民共和国食品安全法》第一百一十条</w:t>
            </w:r>
            <w:r>
              <w:rPr>
                <w:rFonts w:hint="default" w:ascii="Times New Roman" w:hAnsi="Times New Roman" w:eastAsia="方正仿宋_GBK"/>
                <w:b/>
                <w:kern w:val="0"/>
                <w:sz w:val="21"/>
                <w:szCs w:val="24"/>
              </w:rPr>
              <w:t xml:space="preserve">  </w:t>
            </w:r>
            <w:r>
              <w:rPr>
                <w:rFonts w:hint="eastAsia" w:ascii="Times New Roman" w:hAnsi="Times New Roman" w:eastAsia="方正仿宋_GBK"/>
                <w:kern w:val="0"/>
                <w:sz w:val="21"/>
                <w:szCs w:val="24"/>
              </w:rPr>
              <w:t xml:space="preserve">县级以上人民政府食品安全监督管理部门履行食品安全监督管理职责，有权采取下列措施，对生产经营者遵守本法的情况进行监督检查： </w:t>
            </w:r>
          </w:p>
          <w:p w14:paraId="53AEFDBB">
            <w:pPr>
              <w:widowControl/>
              <w:spacing w:beforeLines="0" w:afterLines="0" w:line="280" w:lineRule="exact"/>
              <w:jc w:val="left"/>
              <w:rPr>
                <w:rFonts w:hint="default" w:ascii="Times New Roman" w:hAnsi="Times New Roman" w:eastAsia="方正仿宋_GBK"/>
                <w:kern w:val="0"/>
                <w:sz w:val="21"/>
                <w:szCs w:val="24"/>
              </w:rPr>
            </w:pPr>
            <w:r>
              <w:rPr>
                <w:rFonts w:hint="eastAsia" w:ascii="Times New Roman" w:hAnsi="Times New Roman" w:eastAsia="方正仿宋_GBK"/>
                <w:kern w:val="0"/>
                <w:sz w:val="21"/>
                <w:szCs w:val="24"/>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kern w:val="0"/>
                <w:sz w:val="21"/>
                <w:szCs w:val="24"/>
              </w:rPr>
              <w:t xml:space="preserve"> </w:t>
            </w:r>
          </w:p>
          <w:p w14:paraId="67790665">
            <w:pPr>
              <w:widowControl/>
              <w:spacing w:beforeLines="0" w:afterLines="0" w:line="280" w:lineRule="exact"/>
              <w:jc w:val="left"/>
              <w:rPr>
                <w:rFonts w:hint="default" w:ascii="Times New Roman" w:hAnsi="Times New Roman" w:eastAsia="方正仿宋_GBK"/>
                <w:b/>
                <w:kern w:val="0"/>
                <w:sz w:val="21"/>
                <w:szCs w:val="24"/>
              </w:rPr>
            </w:pPr>
            <w:r>
              <w:rPr>
                <w:rFonts w:hint="eastAsia" w:ascii="Times New Roman" w:hAnsi="Times New Roman" w:eastAsia="方正仿宋_GBK"/>
                <w:kern w:val="0"/>
                <w:sz w:val="21"/>
                <w:szCs w:val="24"/>
              </w:rPr>
              <w:t>（五）查封违法从事生产经营活动的场所。</w:t>
            </w:r>
          </w:p>
        </w:tc>
      </w:tr>
      <w:tr w14:paraId="441F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18D595">
            <w:pPr>
              <w:widowControl/>
              <w:spacing w:beforeLines="0" w:afterLines="0" w:line="280" w:lineRule="exact"/>
              <w:jc w:val="center"/>
              <w:rPr>
                <w:rFonts w:hint="eastAsia" w:ascii="Times New Roman" w:hAnsi="Times New Roman" w:eastAsia="方正仿宋_GBK"/>
                <w:kern w:val="0"/>
                <w:sz w:val="21"/>
                <w:szCs w:val="24"/>
              </w:rPr>
            </w:pPr>
            <w:r>
              <w:rPr>
                <w:rFonts w:hint="default" w:ascii="Times New Roman" w:hAnsi="Times New Roman" w:eastAsia="方正仿宋_GBK"/>
                <w:kern w:val="0"/>
                <w:sz w:val="21"/>
                <w:szCs w:val="24"/>
              </w:rPr>
              <w:t>13</w:t>
            </w:r>
          </w:p>
        </w:tc>
        <w:tc>
          <w:tcPr>
            <w:tcW w:w="3804" w:type="dxa"/>
            <w:tcBorders>
              <w:top w:val="single" w:color="auto" w:sz="4" w:space="0"/>
              <w:left w:val="nil"/>
              <w:bottom w:val="single" w:color="auto" w:sz="4" w:space="0"/>
              <w:right w:val="single" w:color="auto" w:sz="4" w:space="0"/>
              <w:tl2br w:val="nil"/>
              <w:tr2bl w:val="nil"/>
            </w:tcBorders>
            <w:noWrap w:val="0"/>
            <w:vAlign w:val="center"/>
          </w:tcPr>
          <w:p w14:paraId="785CB6DF">
            <w:pPr>
              <w:widowControl/>
              <w:spacing w:beforeLines="0" w:afterLines="0" w:line="280" w:lineRule="exact"/>
              <w:jc w:val="left"/>
              <w:rPr>
                <w:rFonts w:hint="eastAsia" w:ascii="Times New Roman" w:hAnsi="Times New Roman" w:eastAsia="方正仿宋_GBK"/>
                <w:kern w:val="0"/>
                <w:sz w:val="21"/>
                <w:szCs w:val="24"/>
              </w:rPr>
            </w:pPr>
            <w:r>
              <w:rPr>
                <w:rFonts w:hint="eastAsia" w:ascii="Times New Roman" w:hAnsi="Times New Roman" w:eastAsia="方正仿宋_GBK"/>
                <w:kern w:val="0"/>
                <w:sz w:val="21"/>
                <w:szCs w:val="24"/>
              </w:rPr>
              <w:t>查封、扣押经许可使用他人注册商标，但未在商品上标注被许可人的名称和商品产地的物品</w:t>
            </w:r>
          </w:p>
        </w:tc>
        <w:tc>
          <w:tcPr>
            <w:tcW w:w="3969" w:type="dxa"/>
            <w:tcBorders>
              <w:top w:val="single" w:color="auto" w:sz="4" w:space="0"/>
              <w:left w:val="nil"/>
              <w:bottom w:val="single" w:color="auto" w:sz="4" w:space="0"/>
              <w:right w:val="single" w:color="auto" w:sz="4" w:space="0"/>
              <w:tl2br w:val="nil"/>
              <w:tr2bl w:val="nil"/>
            </w:tcBorders>
            <w:noWrap w:val="0"/>
            <w:vAlign w:val="center"/>
          </w:tcPr>
          <w:p w14:paraId="0B51A169">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1.</w:t>
            </w:r>
            <w:r>
              <w:rPr>
                <w:rFonts w:hint="eastAsia" w:ascii="Times New Roman" w:hAnsi="Times New Roman" w:eastAsia="方正仿宋_GBK"/>
                <w:kern w:val="0"/>
                <w:sz w:val="21"/>
                <w:szCs w:val="24"/>
              </w:rPr>
              <w:t>情节轻微；</w:t>
            </w:r>
          </w:p>
          <w:p w14:paraId="5D187303">
            <w:pPr>
              <w:widowControl/>
              <w:spacing w:beforeLines="0" w:afterLines="0" w:line="280" w:lineRule="exact"/>
              <w:jc w:val="left"/>
              <w:rPr>
                <w:rFonts w:hint="default" w:ascii="Times New Roman" w:hAnsi="Times New Roman" w:eastAsia="方正仿宋_GBK"/>
                <w:kern w:val="0"/>
                <w:sz w:val="21"/>
                <w:szCs w:val="24"/>
              </w:rPr>
            </w:pPr>
            <w:r>
              <w:rPr>
                <w:rFonts w:hint="default" w:ascii="Times New Roman" w:hAnsi="Times New Roman" w:eastAsia="方正仿宋_GBK"/>
                <w:kern w:val="0"/>
                <w:sz w:val="21"/>
                <w:szCs w:val="24"/>
              </w:rPr>
              <w:t>2.</w:t>
            </w:r>
            <w:r>
              <w:rPr>
                <w:rFonts w:hint="eastAsia" w:ascii="Times New Roman" w:hAnsi="Times New Roman" w:eastAsia="方正仿宋_GBK"/>
                <w:kern w:val="0"/>
                <w:sz w:val="21"/>
                <w:szCs w:val="24"/>
              </w:rPr>
              <w:t>经责令限期改正后及时改正。</w:t>
            </w:r>
          </w:p>
        </w:tc>
        <w:tc>
          <w:tcPr>
            <w:tcW w:w="6175" w:type="dxa"/>
            <w:tcBorders>
              <w:top w:val="single" w:color="auto" w:sz="4" w:space="0"/>
              <w:left w:val="nil"/>
              <w:bottom w:val="single" w:color="auto" w:sz="4" w:space="0"/>
              <w:right w:val="single" w:color="auto" w:sz="4" w:space="0"/>
              <w:tl2br w:val="nil"/>
              <w:tr2bl w:val="nil"/>
            </w:tcBorders>
            <w:noWrap w:val="0"/>
            <w:vAlign w:val="center"/>
          </w:tcPr>
          <w:p w14:paraId="5CE891E5">
            <w:pPr>
              <w:widowControl/>
              <w:spacing w:beforeLines="0" w:afterLines="0" w:line="280" w:lineRule="exact"/>
              <w:jc w:val="left"/>
              <w:rPr>
                <w:rFonts w:hint="eastAsia" w:ascii="Times New Roman" w:hAnsi="Times New Roman" w:eastAsia="方正仿宋_GBK"/>
                <w:b/>
                <w:kern w:val="0"/>
                <w:sz w:val="21"/>
                <w:szCs w:val="24"/>
              </w:rPr>
            </w:pPr>
            <w:r>
              <w:rPr>
                <w:rFonts w:hint="eastAsia" w:ascii="Times New Roman" w:hAnsi="Times New Roman" w:eastAsia="方正仿宋_GBK"/>
                <w:b/>
                <w:kern w:val="0"/>
                <w:sz w:val="21"/>
                <w:szCs w:val="24"/>
              </w:rPr>
              <w:t>《中华人民共和国商标法》第六十二条　</w:t>
            </w:r>
            <w:r>
              <w:rPr>
                <w:rFonts w:hint="eastAsia" w:ascii="Times New Roman" w:hAnsi="Times New Roman" w:eastAsia="方正仿宋_GBK"/>
                <w:kern w:val="0"/>
                <w:sz w:val="21"/>
                <w:szCs w:val="24"/>
              </w:rPr>
              <w:t>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tc>
      </w:tr>
    </w:tbl>
    <w:p w14:paraId="0F33975F">
      <w:pPr>
        <w:pStyle w:val="12"/>
        <w:rPr>
          <w:rFonts w:ascii="仿宋_GB2312"/>
          <w:szCs w:val="32"/>
        </w:rPr>
      </w:pPr>
    </w:p>
    <w:sectPr>
      <w:pgSz w:w="16838" w:h="11906" w:orient="landscape"/>
      <w:pgMar w:top="1588" w:right="1962" w:bottom="1474" w:left="2268" w:header="851" w:footer="992" w:gutter="0"/>
      <w:pgNumType w:fmt="decimal"/>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306F0-084C-4D31-A8EC-4C4A6A91C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C3E551A-D125-4E0D-8E33-9C4A36AE6820}"/>
  </w:font>
  <w:font w:name="方正小标宋_GBK">
    <w:panose1 w:val="02000000000000000000"/>
    <w:charset w:val="86"/>
    <w:family w:val="script"/>
    <w:pitch w:val="default"/>
    <w:sig w:usb0="A00002BF" w:usb1="38CF7CFA" w:usb2="00082016" w:usb3="00000000" w:csb0="00040001" w:csb1="00000000"/>
    <w:embedRegular r:id="rId3" w:fontKey="{A4A85C8A-0FD9-4F2D-95DD-1A88E49E3056}"/>
  </w:font>
  <w:font w:name="Times">
    <w:altName w:val="Times New Roman"/>
    <w:panose1 w:val="00000000000000000000"/>
    <w:charset w:val="00"/>
    <w:family w:val="roman"/>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embedRegular r:id="rId4" w:fontKey="{0D41EBD7-4E65-4150-A88C-E612B1F2F7CA}"/>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5" w:fontKey="{35DA0676-A7D1-4EA0-8285-B8FC604B570C}"/>
  </w:font>
  <w:font w:name="等线">
    <w:panose1 w:val="02010600030101010101"/>
    <w:charset w:val="86"/>
    <w:family w:val="auto"/>
    <w:pitch w:val="default"/>
    <w:sig w:usb0="A00002BF" w:usb1="38CF7CFA" w:usb2="00000016" w:usb3="00000000" w:csb0="0004000F" w:csb1="00000000"/>
    <w:embedRegular r:id="rId6" w:fontKey="{999888D7-9D1E-40EA-B0B8-39DAFEFB42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D227">
    <w:pPr>
      <w:spacing w:before="1" w:line="176" w:lineRule="auto"/>
      <w:jc w:val="both"/>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0AD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B10AD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F7B833B">
    <w:pPr>
      <w:spacing w:before="1" w:line="176" w:lineRule="auto"/>
      <w:jc w:val="right"/>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90170</wp:posOffset>
              </wp:positionV>
              <wp:extent cx="6039485" cy="635"/>
              <wp:effectExtent l="0" t="10795" r="18415" b="17145"/>
              <wp:wrapNone/>
              <wp:docPr id="24" name="直接连接符 24"/>
              <wp:cNvGraphicFramePr/>
              <a:graphic xmlns:a="http://schemas.openxmlformats.org/drawingml/2006/main">
                <a:graphicData uri="http://schemas.microsoft.com/office/word/2010/wordprocessingShape">
                  <wps:wsp>
                    <wps:cNvCnPr/>
                    <wps:spPr>
                      <a:xfrm>
                        <a:off x="0" y="0"/>
                        <a:ext cx="6039485" cy="635"/>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7.1pt;height:0.05pt;width:475.55pt;z-index:251661312;mso-width-relative:page;mso-height-relative:page;" filled="f" stroked="t" coordsize="21600,21600" o:gfxdata="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iAOv1AAAAAcBAAAPAAAAAAAAAAEAIAAAACIAAABkcnMvZG93bnJldi54bWxQ&#10;SwECFAAUAAAACACHTuJAEqN1sPsBAADpAwAADgAAAAAAAAABACAAAAAjAQAAZHJzL2Uyb0RvYy54&#10;bWxQSwUGAAAAAAYABgBZAQAAkAUAAAAA&#10;">
              <v:fill on="f" focussize="0,0"/>
              <v:stroke weight="1.75pt" color="#1F497D" joinstyle="round"/>
              <v:imagedata o:title=""/>
              <o:lock v:ext="edit" aspectratio="f"/>
            </v:line>
          </w:pict>
        </mc:Fallback>
      </mc:AlternateContent>
    </w:r>
  </w:p>
  <w:p w14:paraId="5E5C7C66">
    <w:pPr>
      <w:pStyle w:val="5"/>
      <w:ind w:right="360"/>
      <w:jc w:val="right"/>
      <w:rPr>
        <w:rFonts w:hint="eastAsia" w:ascii="宋体" w:hAnsi="宋体" w:eastAsia="宋体" w:cs="宋体"/>
        <w:b/>
        <w:bCs/>
        <w:color w:val="005192"/>
        <w:kern w:val="2"/>
        <w:sz w:val="32"/>
        <w:szCs w:val="32"/>
        <w:lang w:val="en-US" w:eastAsia="zh-CN" w:bidi="ar"/>
      </w:rPr>
    </w:pPr>
    <w:r>
      <w:rPr>
        <w:rFonts w:hint="eastAsia" w:ascii="宋体" w:hAnsi="宋体" w:eastAsia="宋体" w:cs="宋体"/>
        <w:b/>
        <w:bCs/>
        <w:color w:val="005192"/>
        <w:kern w:val="2"/>
        <w:sz w:val="32"/>
        <w:szCs w:val="32"/>
        <w:lang w:val="en-US" w:eastAsia="zh-CN" w:bidi="ar"/>
      </w:rPr>
      <w:t>连云港市市场监督管理局发布</w:t>
    </w:r>
  </w:p>
  <w:p w14:paraId="584F5F21">
    <w:pPr>
      <w:spacing w:before="1" w:line="176" w:lineRule="auto"/>
      <w:jc w:val="righ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3A66">
    <w:pPr>
      <w:spacing w:before="1" w:line="176" w:lineRule="auto"/>
      <w:jc w:val="both"/>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7A66A">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367A66A">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3212FEB0">
    <w:pPr>
      <w:spacing w:before="1" w:line="176" w:lineRule="auto"/>
      <w:jc w:val="right"/>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154940</wp:posOffset>
              </wp:positionV>
              <wp:extent cx="9533255" cy="8255"/>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9533255" cy="8255"/>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1.5pt;margin-top:12.2pt;height:0.65pt;width:750.65pt;z-index:251662336;mso-width-relative:page;mso-height-relative:page;" filled="f" stroked="t" coordsize="21600,21600" o:gfxdata="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dSenaAAAACwEAAA8AAAAAAAAAAQAgAAAAIgAAAGRycy9k&#10;b3ducmV2LnhtbFBLAQIUABQAAAAIAIdO4kDAaIXoAAIAAPQDAAAOAAAAAAAAAAEAIAAAACkBAABk&#10;cnMvZTJvRG9jLnhtbFBLBQYAAAAABgAGAFkBAACbBQAAAAA=&#10;">
              <v:fill on="f" focussize="0,0"/>
              <v:stroke weight="1.75pt" color="#1F497D" joinstyle="round"/>
              <v:imagedata o:title=""/>
              <o:lock v:ext="edit" aspectratio="f"/>
            </v:line>
          </w:pict>
        </mc:Fallback>
      </mc:AlternateContent>
    </w:r>
  </w:p>
  <w:p w14:paraId="1CEAC8A7">
    <w:pPr>
      <w:pStyle w:val="5"/>
      <w:ind w:right="360"/>
      <w:jc w:val="right"/>
      <w:rPr>
        <w:rFonts w:hint="eastAsia" w:ascii="宋体" w:hAnsi="宋体" w:eastAsia="宋体" w:cs="宋体"/>
        <w:b/>
        <w:bCs/>
        <w:color w:val="005192"/>
        <w:kern w:val="2"/>
        <w:sz w:val="32"/>
        <w:szCs w:val="32"/>
        <w:lang w:val="en-US" w:eastAsia="zh-CN" w:bidi="ar"/>
      </w:rPr>
    </w:pPr>
    <w:r>
      <w:rPr>
        <w:rFonts w:hint="eastAsia" w:ascii="宋体" w:hAnsi="宋体" w:eastAsia="宋体" w:cs="宋体"/>
        <w:b/>
        <w:bCs/>
        <w:color w:val="005192"/>
        <w:kern w:val="2"/>
        <w:sz w:val="32"/>
        <w:szCs w:val="32"/>
        <w:lang w:val="en-US" w:eastAsia="zh-CN" w:bidi="ar"/>
      </w:rPr>
      <w:t>连云港市市场监督管理局发布</w:t>
    </w:r>
  </w:p>
  <w:p w14:paraId="5A9D140B">
    <w:pPr>
      <w:spacing w:before="1" w:line="176" w:lineRule="auto"/>
      <w:jc w:val="right"/>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DE73">
    <w:pPr>
      <w:pStyle w:val="5"/>
      <w:framePr w:wrap="around" w:vAnchor="text" w:hAnchor="margin" w:xAlign="outside" w:y="1"/>
      <w:rPr>
        <w:rStyle w:val="11"/>
        <w:rFonts w:ascii="仿宋_GB2312"/>
        <w:sz w:val="32"/>
        <w:szCs w:val="32"/>
      </w:rPr>
    </w:pPr>
    <w:r>
      <w:rPr>
        <w:rStyle w:val="11"/>
        <w:rFonts w:ascii="仿宋_GB2312"/>
        <w:sz w:val="32"/>
        <w:szCs w:val="32"/>
      </w:rPr>
      <w:fldChar w:fldCharType="begin"/>
    </w:r>
    <w:r>
      <w:rPr>
        <w:rStyle w:val="11"/>
        <w:rFonts w:ascii="仿宋_GB2312"/>
        <w:sz w:val="32"/>
        <w:szCs w:val="32"/>
      </w:rPr>
      <w:instrText xml:space="preserve">PAGE  </w:instrText>
    </w:r>
    <w:r>
      <w:rPr>
        <w:rStyle w:val="11"/>
        <w:rFonts w:ascii="仿宋_GB2312"/>
        <w:sz w:val="32"/>
        <w:szCs w:val="32"/>
      </w:rPr>
      <w:fldChar w:fldCharType="separate"/>
    </w:r>
    <w:r>
      <w:rPr>
        <w:rStyle w:val="11"/>
        <w:rFonts w:ascii="仿宋_GB2312"/>
        <w:sz w:val="32"/>
        <w:szCs w:val="32"/>
      </w:rPr>
      <w:t>- 2 -</w:t>
    </w:r>
    <w:r>
      <w:rPr>
        <w:rStyle w:val="11"/>
        <w:rFonts w:ascii="仿宋_GB2312"/>
        <w:sz w:val="32"/>
        <w:szCs w:val="32"/>
      </w:rPr>
      <w:fldChar w:fldCharType="end"/>
    </w:r>
  </w:p>
  <w:p w14:paraId="68E9DE6D">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AB8E">
    <w:pPr>
      <w:pStyle w:val="8"/>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textAlignment w:val="center"/>
      <w:rPr>
        <w:rFonts w:hint="eastAsia" w:ascii="宋体" w:hAnsi="宋体" w:eastAsia="宋体" w:cs="宋体"/>
        <w:b/>
        <w:bCs/>
        <w:color w:val="005192"/>
        <w:kern w:val="2"/>
        <w:sz w:val="32"/>
        <w:szCs w:val="32"/>
        <w:lang w:val="en-US" w:eastAsia="zh-CN" w:bidi="ar"/>
      </w:rPr>
    </w:pPr>
  </w:p>
  <w:p w14:paraId="305B9B62">
    <w:pPr>
      <w:pStyle w:val="8"/>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textAlignment w:val="center"/>
      <w:rPr>
        <w:rFonts w:hint="eastAsia" w:ascii="宋体" w:hAnsi="宋体" w:eastAsia="宋体" w:cs="宋体"/>
        <w:color w:val="1F497D" w:themeColor="text2"/>
        <w:sz w:val="32"/>
        <w:szCs w:val="32"/>
        <w:lang w:val="en-US" w:eastAsia="zh-CN"/>
        <w14:textFill>
          <w14:solidFill>
            <w14:schemeClr w14:val="tx2"/>
          </w14:solidFill>
        </w14:textFill>
      </w:rPr>
    </w:pPr>
    <w:r>
      <w:rPr>
        <w:rFonts w:hint="eastAsia" w:ascii="宋体" w:hAnsi="宋体" w:eastAsia="宋体" w:cs="宋体"/>
        <w:b/>
        <w:bCs/>
        <w:color w:val="005192"/>
        <w:kern w:val="2"/>
        <w:sz w:val="32"/>
        <w:szCs w:val="32"/>
        <w:lang w:val="en-US" w:eastAsia="zh-CN" w:bidi="ar"/>
      </w:rPr>
      <w:t>连云港市行政规范性文件</w:t>
    </w:r>
  </w:p>
  <w:p w14:paraId="1A85E3F9">
    <w:pPr>
      <w:pStyle w:val="6"/>
      <w:pBdr>
        <w:bottom w:val="single" w:color="auto" w:sz="4" w:space="1"/>
      </w:pBdr>
      <w:jc w:val="both"/>
    </w:pPr>
    <w:r>
      <w:rPr>
        <w:sz w:val="3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144780</wp:posOffset>
              </wp:positionV>
              <wp:extent cx="6039485" cy="635"/>
              <wp:effectExtent l="0" t="10795" r="18415" b="17145"/>
              <wp:wrapNone/>
              <wp:docPr id="17" name="直接连接符 17"/>
              <wp:cNvGraphicFramePr/>
              <a:graphic xmlns:a="http://schemas.openxmlformats.org/drawingml/2006/main">
                <a:graphicData uri="http://schemas.microsoft.com/office/word/2010/wordprocessingShape">
                  <wps:wsp>
                    <wps:cNvCnPr/>
                    <wps:spPr>
                      <a:xfrm>
                        <a:off x="0" y="0"/>
                        <a:ext cx="6039485" cy="635"/>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11.4pt;height:0.05pt;width:475.55pt;z-index:251660288;mso-width-relative:page;mso-height-relative:page;" filled="f" stroked="t" coordsize="21600,21600" o:gfxdata="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48w7WAAAABwEAAA8AAAAAAAAAAQAgAAAAIgAAAGRycy9kb3ducmV2Lnht&#10;bFBLAQIUABQAAAAIAIdO4kC8JRlQ+wEAAOkDAAAOAAAAAAAAAAEAIAAAACUBAABkcnMvZTJvRG9j&#10;LnhtbFBLBQYAAAAABgAGAFkBAACSBQAAAAA=&#10;">
              <v:fill on="f" focussize="0,0"/>
              <v:stroke weight="1.75pt" color="#1F497D"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D4C3">
    <w:pPr>
      <w:pStyle w:val="8"/>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textAlignment w:val="center"/>
      <w:rPr>
        <w:rFonts w:hint="eastAsia" w:ascii="宋体" w:hAnsi="宋体" w:eastAsia="宋体" w:cs="宋体"/>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59264" behindDoc="0" locked="0" layoutInCell="1" allowOverlap="1">
              <wp:simplePos x="0" y="0"/>
              <wp:positionH relativeFrom="column">
                <wp:posOffset>-844550</wp:posOffset>
              </wp:positionH>
              <wp:positionV relativeFrom="paragraph">
                <wp:posOffset>316865</wp:posOffset>
              </wp:positionV>
              <wp:extent cx="9627870" cy="0"/>
              <wp:effectExtent l="0" t="10795" r="11430" b="17780"/>
              <wp:wrapNone/>
              <wp:docPr id="1" name="直线 1025"/>
              <wp:cNvGraphicFramePr/>
              <a:graphic xmlns:a="http://schemas.openxmlformats.org/drawingml/2006/main">
                <a:graphicData uri="http://schemas.microsoft.com/office/word/2010/wordprocessingShape">
                  <wps:wsp>
                    <wps:cNvCnPr/>
                    <wps:spPr>
                      <a:xfrm>
                        <a:off x="0" y="0"/>
                        <a:ext cx="9627870" cy="0"/>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直线 1025" o:spid="_x0000_s1026" o:spt="20" style="position:absolute;left:0pt;margin-left:-66.5pt;margin-top:24.95pt;height:0pt;width:758.1pt;z-index:251659264;mso-width-relative:page;mso-height-relative:page;" filled="f" stroked="t" coordsize="21600,21600" o:gfxdata="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kLUUTZAAAACwEAAA8AAAAAAAAAAQAgAAAAIgAAAGRycy9kb3ducmV2LnhtbFBLAQIUABQA&#10;AAAIAIdO4kBYWPyw7wEAAN8DAAAOAAAAAAAAAAEAIAAAACgBAABkcnMvZTJvRG9jLnhtbFBLBQYA&#10;AAAABgAGAFkBAACJBQAAAAA=&#10;">
              <v:fill on="f" focussize="0,0"/>
              <v:stroke weight="1.75pt" color="#1F497D" joinstyle="round"/>
              <v:imagedata o:title=""/>
              <o:lock v:ext="edit" aspectratio="f"/>
            </v:line>
          </w:pict>
        </mc:Fallback>
      </mc:AlternateContent>
    </w:r>
    <w:r>
      <w:rPr>
        <w:rFonts w:hint="eastAsia" w:ascii="宋体" w:hAnsi="宋体" w:eastAsia="宋体" w:cs="宋体"/>
        <w:b/>
        <w:bCs/>
        <w:color w:val="005192"/>
        <w:kern w:val="2"/>
        <w:sz w:val="32"/>
        <w:szCs w:val="32"/>
        <w:lang w:val="en-US" w:eastAsia="zh-CN" w:bidi="ar"/>
      </w:rPr>
      <w:t>连云港市行政规范性文件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F0F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E3"/>
    <w:rsid w:val="00000EB7"/>
    <w:rsid w:val="00005E01"/>
    <w:rsid w:val="000105B5"/>
    <w:rsid w:val="00022C31"/>
    <w:rsid w:val="000422BF"/>
    <w:rsid w:val="00055CBB"/>
    <w:rsid w:val="0006360C"/>
    <w:rsid w:val="00093355"/>
    <w:rsid w:val="00102439"/>
    <w:rsid w:val="0012544E"/>
    <w:rsid w:val="00127DBC"/>
    <w:rsid w:val="00152ABE"/>
    <w:rsid w:val="001562D6"/>
    <w:rsid w:val="00165DFE"/>
    <w:rsid w:val="001B03B3"/>
    <w:rsid w:val="001B54B9"/>
    <w:rsid w:val="001C028F"/>
    <w:rsid w:val="002241AF"/>
    <w:rsid w:val="00224245"/>
    <w:rsid w:val="00230832"/>
    <w:rsid w:val="00260B09"/>
    <w:rsid w:val="002725C7"/>
    <w:rsid w:val="00273393"/>
    <w:rsid w:val="00277F4F"/>
    <w:rsid w:val="00287DF7"/>
    <w:rsid w:val="002950F2"/>
    <w:rsid w:val="00295C81"/>
    <w:rsid w:val="0029708E"/>
    <w:rsid w:val="002C6AA3"/>
    <w:rsid w:val="002D6AF9"/>
    <w:rsid w:val="002F62D1"/>
    <w:rsid w:val="00320EE2"/>
    <w:rsid w:val="00331E73"/>
    <w:rsid w:val="0034047F"/>
    <w:rsid w:val="003715FE"/>
    <w:rsid w:val="00382D4F"/>
    <w:rsid w:val="00386811"/>
    <w:rsid w:val="00396EC6"/>
    <w:rsid w:val="003B5323"/>
    <w:rsid w:val="003B5DC6"/>
    <w:rsid w:val="003C1CFB"/>
    <w:rsid w:val="003F66ED"/>
    <w:rsid w:val="00416FDF"/>
    <w:rsid w:val="004278C5"/>
    <w:rsid w:val="0045371D"/>
    <w:rsid w:val="00465EFA"/>
    <w:rsid w:val="0049343E"/>
    <w:rsid w:val="004A1B32"/>
    <w:rsid w:val="004A7F50"/>
    <w:rsid w:val="004D55D2"/>
    <w:rsid w:val="0050569A"/>
    <w:rsid w:val="0051216B"/>
    <w:rsid w:val="00517372"/>
    <w:rsid w:val="00543093"/>
    <w:rsid w:val="00565279"/>
    <w:rsid w:val="0057002B"/>
    <w:rsid w:val="005841BF"/>
    <w:rsid w:val="005955E2"/>
    <w:rsid w:val="005A1E71"/>
    <w:rsid w:val="005B3E26"/>
    <w:rsid w:val="005D215C"/>
    <w:rsid w:val="005F3E6E"/>
    <w:rsid w:val="005F464F"/>
    <w:rsid w:val="005F6538"/>
    <w:rsid w:val="00625542"/>
    <w:rsid w:val="006261D2"/>
    <w:rsid w:val="00655528"/>
    <w:rsid w:val="0065778D"/>
    <w:rsid w:val="00684625"/>
    <w:rsid w:val="006946F1"/>
    <w:rsid w:val="006972A0"/>
    <w:rsid w:val="006A3A59"/>
    <w:rsid w:val="006A6731"/>
    <w:rsid w:val="006A6AC4"/>
    <w:rsid w:val="006B3CA1"/>
    <w:rsid w:val="007006E1"/>
    <w:rsid w:val="00703600"/>
    <w:rsid w:val="00757586"/>
    <w:rsid w:val="00771241"/>
    <w:rsid w:val="00791D4C"/>
    <w:rsid w:val="007A50EC"/>
    <w:rsid w:val="007A6DA4"/>
    <w:rsid w:val="007C26E6"/>
    <w:rsid w:val="007F2DA2"/>
    <w:rsid w:val="0082010C"/>
    <w:rsid w:val="008219BA"/>
    <w:rsid w:val="008245A4"/>
    <w:rsid w:val="008348A4"/>
    <w:rsid w:val="00853DEE"/>
    <w:rsid w:val="00890D4D"/>
    <w:rsid w:val="008A7756"/>
    <w:rsid w:val="008A7B20"/>
    <w:rsid w:val="008B17AD"/>
    <w:rsid w:val="008B6826"/>
    <w:rsid w:val="008D1A7B"/>
    <w:rsid w:val="008D55F5"/>
    <w:rsid w:val="008F67D5"/>
    <w:rsid w:val="0090468F"/>
    <w:rsid w:val="00912995"/>
    <w:rsid w:val="009418E3"/>
    <w:rsid w:val="0095408E"/>
    <w:rsid w:val="00956BBB"/>
    <w:rsid w:val="0098200C"/>
    <w:rsid w:val="009B1ABA"/>
    <w:rsid w:val="009B274E"/>
    <w:rsid w:val="009C2A7B"/>
    <w:rsid w:val="009F24DB"/>
    <w:rsid w:val="00A01726"/>
    <w:rsid w:val="00A5657F"/>
    <w:rsid w:val="00A6414E"/>
    <w:rsid w:val="00A75F2F"/>
    <w:rsid w:val="00A76504"/>
    <w:rsid w:val="00A773E4"/>
    <w:rsid w:val="00AC699B"/>
    <w:rsid w:val="00AD3859"/>
    <w:rsid w:val="00AE38B7"/>
    <w:rsid w:val="00AF2F4F"/>
    <w:rsid w:val="00B252C6"/>
    <w:rsid w:val="00B40E01"/>
    <w:rsid w:val="00B46724"/>
    <w:rsid w:val="00B51D44"/>
    <w:rsid w:val="00B55FF4"/>
    <w:rsid w:val="00B671D1"/>
    <w:rsid w:val="00B8314E"/>
    <w:rsid w:val="00B84BAD"/>
    <w:rsid w:val="00B86DCC"/>
    <w:rsid w:val="00BA7018"/>
    <w:rsid w:val="00C037C4"/>
    <w:rsid w:val="00C20B05"/>
    <w:rsid w:val="00C23E14"/>
    <w:rsid w:val="00C344FC"/>
    <w:rsid w:val="00C41246"/>
    <w:rsid w:val="00C41D78"/>
    <w:rsid w:val="00C80838"/>
    <w:rsid w:val="00C8094B"/>
    <w:rsid w:val="00C87827"/>
    <w:rsid w:val="00C911D9"/>
    <w:rsid w:val="00CA6683"/>
    <w:rsid w:val="00CC6675"/>
    <w:rsid w:val="00CC6E18"/>
    <w:rsid w:val="00D07D6C"/>
    <w:rsid w:val="00D130E1"/>
    <w:rsid w:val="00D3166D"/>
    <w:rsid w:val="00D34BB5"/>
    <w:rsid w:val="00D36CCF"/>
    <w:rsid w:val="00D60474"/>
    <w:rsid w:val="00D774DF"/>
    <w:rsid w:val="00DA1EC1"/>
    <w:rsid w:val="00DA3565"/>
    <w:rsid w:val="00DA5A2D"/>
    <w:rsid w:val="00DC62DE"/>
    <w:rsid w:val="00DC6DE2"/>
    <w:rsid w:val="00DD27BF"/>
    <w:rsid w:val="00DE5244"/>
    <w:rsid w:val="00E126AA"/>
    <w:rsid w:val="00E33453"/>
    <w:rsid w:val="00E50151"/>
    <w:rsid w:val="00E91898"/>
    <w:rsid w:val="00E97459"/>
    <w:rsid w:val="00EA1E3B"/>
    <w:rsid w:val="00ED1CB0"/>
    <w:rsid w:val="00EF0833"/>
    <w:rsid w:val="00EF5F55"/>
    <w:rsid w:val="00F04E1C"/>
    <w:rsid w:val="00F11F04"/>
    <w:rsid w:val="00F20003"/>
    <w:rsid w:val="00F35117"/>
    <w:rsid w:val="00F57AB2"/>
    <w:rsid w:val="00F63F70"/>
    <w:rsid w:val="00F9761D"/>
    <w:rsid w:val="00FC5D3D"/>
    <w:rsid w:val="110E5008"/>
    <w:rsid w:val="12BC654D"/>
    <w:rsid w:val="15286ABC"/>
    <w:rsid w:val="19640835"/>
    <w:rsid w:val="1F5A3939"/>
    <w:rsid w:val="34B9034F"/>
    <w:rsid w:val="3B2C117C"/>
    <w:rsid w:val="45352D45"/>
    <w:rsid w:val="59562C91"/>
    <w:rsid w:val="5DD926A9"/>
    <w:rsid w:val="633A3BD0"/>
    <w:rsid w:val="70D231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200" w:firstLineChars="200"/>
    </w:pPr>
    <w:rPr>
      <w:rFonts w:hint="eastAsia"/>
      <w:sz w:val="21"/>
      <w:szCs w:val="24"/>
    </w:rPr>
  </w:style>
  <w:style w:type="paragraph" w:styleId="3">
    <w:name w:val="annotation text"/>
    <w:semiHidden/>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next w:val="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99"/>
    <w:rPr>
      <w:rFonts w:cs="Times New Roman"/>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Char"/>
    <w:basedOn w:val="10"/>
    <w:link w:val="6"/>
    <w:qFormat/>
    <w:locked/>
    <w:uiPriority w:val="99"/>
    <w:rPr>
      <w:rFonts w:cs="Times New Roman"/>
      <w:sz w:val="18"/>
      <w:szCs w:val="18"/>
    </w:rPr>
  </w:style>
  <w:style w:type="character" w:customStyle="1" w:styleId="14">
    <w:name w:val="页脚 Char"/>
    <w:basedOn w:val="10"/>
    <w:link w:val="5"/>
    <w:qFormat/>
    <w:locked/>
    <w:uiPriority w:val="99"/>
    <w:rPr>
      <w:rFonts w:cs="Times New Roman"/>
      <w:sz w:val="18"/>
      <w:szCs w:val="18"/>
    </w:rPr>
  </w:style>
  <w:style w:type="paragraph" w:customStyle="1" w:styleId="15">
    <w:name w:val="_Style 2"/>
    <w:qFormat/>
    <w:uiPriority w:val="99"/>
    <w:pPr>
      <w:widowControl w:val="0"/>
      <w:spacing w:line="351" w:lineRule="atLeast"/>
      <w:ind w:firstLine="623"/>
      <w:jc w:val="both"/>
      <w:textAlignment w:val="baseline"/>
    </w:pPr>
    <w:rPr>
      <w:rFonts w:ascii="Calibri" w:hAnsi="Calibri" w:eastAsia="仿宋_GB2312" w:cs="Times New Roman"/>
      <w:color w:val="000000"/>
      <w:kern w:val="2"/>
      <w:sz w:val="31"/>
      <w:lang w:val="en-US" w:eastAsia="zh-CN" w:bidi="ar-SA"/>
    </w:rPr>
  </w:style>
  <w:style w:type="paragraph" w:customStyle="1" w:styleId="16">
    <w:name w:val="HtmlNormal"/>
    <w:basedOn w:val="1"/>
    <w:qFormat/>
    <w:uiPriority w:val="0"/>
    <w:pPr>
      <w:widowControl/>
      <w:spacing w:before="100" w:beforeAutospacing="1" w:after="100" w:afterAutospacing="1"/>
      <w:jc w:val="left"/>
      <w:textAlignment w:val="baseline"/>
    </w:pPr>
    <w:rPr>
      <w:rFonts w:ascii="宋体"/>
      <w:kern w:val="0"/>
      <w:sz w:val="24"/>
    </w:rPr>
  </w:style>
  <w:style w:type="paragraph" w:customStyle="1" w:styleId="17">
    <w:name w:val="标题1"/>
    <w:next w:val="1"/>
    <w:qFormat/>
    <w:uiPriority w:val="0"/>
    <w:pPr>
      <w:widowControl w:val="0"/>
      <w:tabs>
        <w:tab w:val="left" w:pos="9193"/>
        <w:tab w:val="left" w:pos="9827"/>
      </w:tabs>
      <w:overflowPunct w:val="0"/>
      <w:autoSpaceDE w:val="0"/>
      <w:autoSpaceDN w:val="0"/>
      <w:snapToGrid w:val="0"/>
      <w:spacing w:line="760" w:lineRule="atLeast"/>
      <w:jc w:val="center"/>
    </w:pPr>
    <w:rPr>
      <w:rFonts w:ascii="方正小标宋_GBK" w:hAnsi="Times" w:eastAsia="方正小标宋_GBK" w:cs="Times New Roman"/>
      <w:kern w:val="2"/>
      <w:sz w:val="44"/>
      <w:szCs w:val="20"/>
      <w:lang w:val="en-US" w:eastAsia="zh-CN" w:bidi="ar-SA"/>
    </w:rPr>
  </w:style>
  <w:style w:type="paragraph" w:customStyle="1" w:styleId="18">
    <w:name w:val="List Paragraph"/>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9">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customStyle="1" w:styleId="20">
    <w:name w:val="Table Paragraph"/>
    <w:qFormat/>
    <w:uiPriority w:val="0"/>
    <w:pPr>
      <w:widowControl w:val="0"/>
      <w:jc w:val="both"/>
    </w:pPr>
    <w:rPr>
      <w:rFonts w:ascii="Times New Roman" w:hAnsi="仿宋_GB2312" w:eastAsia="宋体" w:cs="仿宋_GB2312"/>
      <w:kern w:val="2"/>
      <w:sz w:val="21"/>
      <w:szCs w:val="24"/>
      <w:lang w:val="zh-CN" w:eastAsia="zh-CN" w:bidi="ar-SA"/>
    </w:rPr>
  </w:style>
  <w:style w:type="character" w:customStyle="1" w:styleId="21">
    <w:name w:val="NormalCharacter"/>
    <w:semiHidden/>
    <w:uiPriority w:val="0"/>
  </w:style>
  <w:style w:type="character" w:customStyle="1" w:styleId="22">
    <w:name w:val="font111"/>
    <w:unhideWhenUsed/>
    <w:qFormat/>
    <w:uiPriority w:val="0"/>
    <w:rPr>
      <w:rFonts w:hint="eastAsia" w:ascii="方正仿宋_GBK" w:hAnsi="方正仿宋_GBK" w:eastAsia="方正仿宋_GBK" w:cs="方正仿宋_GBK"/>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Company>
  <Pages>96</Pages>
  <Words>18768</Words>
  <Characters>18962</Characters>
  <Lines>1</Lines>
  <Paragraphs>1</Paragraphs>
  <TotalTime>151</TotalTime>
  <ScaleCrop>false</ScaleCrop>
  <LinksUpToDate>false</LinksUpToDate>
  <CharactersWithSpaces>19448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2024-03-05T04:19:00Z</dcterms:created>
  <dc:creator>zy</dc:creator>
  <cp:lastModifiedBy>범</cp:lastModifiedBy>
  <cp:lastPrinted>2024-12-09T02:31:00Z</cp:lastPrinted>
  <dcterms:modified xsi:type="dcterms:W3CDTF">2025-02-25T08:37:06Z</dcterms:modified>
  <dc:title>连云港市市场监督管理局文件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eyJoZGlkIjoiOWNlMzk5MjNhMDgyMGNjM2ZhZjM5ODIxZTgxMGUxZTEiLCJ1c2VySWQiOiIzMjEyODE2MzcifQ==</vt:lpwstr>
  </property>
  <property fmtid="{D5CDD505-2E9C-101B-9397-08002B2CF9AE}" pid="3" name="KSOProductBuildVer">
    <vt:lpwstr>2052-12.1.0.20305</vt:lpwstr>
  </property>
  <property fmtid="{D5CDD505-2E9C-101B-9397-08002B2CF9AE}" pid="4" name="ICV">
    <vt:lpwstr>CC099DF5AA9B4C1291561AFE87EEEF6D_13</vt:lpwstr>
  </property>
</Properties>
</file>