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E96" w:rsidRDefault="00B63F01" w:rsidP="004128CA">
      <w:pPr>
        <w:spacing w:line="440" w:lineRule="exact"/>
        <w:ind w:firstLineChars="49" w:firstLine="176"/>
        <w:rPr>
          <w:rFonts w:eastAsia="仿宋_GB2312"/>
          <w:sz w:val="36"/>
          <w:szCs w:val="36"/>
        </w:rPr>
      </w:pPr>
      <w:r>
        <w:rPr>
          <w:rFonts w:eastAsia="仿宋_GB2312" w:hint="eastAsia"/>
          <w:kern w:val="0"/>
          <w:sz w:val="36"/>
          <w:szCs w:val="36"/>
        </w:rPr>
        <w:t>连市监办复</w:t>
      </w:r>
      <w:r>
        <w:rPr>
          <w:rFonts w:ascii="Times New Roman" w:eastAsia="仿宋_GB2312" w:hAnsi="Times New Roman" w:cs="Times New Roman"/>
          <w:sz w:val="32"/>
          <w:szCs w:val="32"/>
        </w:rPr>
        <w:t>〔</w:t>
      </w:r>
      <w:r>
        <w:rPr>
          <w:rFonts w:ascii="Times New Roman" w:eastAsia="仿宋_GB2312" w:hAnsi="Times New Roman" w:cs="Times New Roman"/>
          <w:sz w:val="32"/>
          <w:szCs w:val="32"/>
        </w:rPr>
        <w:t>2025</w:t>
      </w:r>
      <w:r>
        <w:rPr>
          <w:rFonts w:ascii="Times New Roman" w:eastAsia="仿宋_GB2312" w:hAnsi="Times New Roman" w:cs="Times New Roman"/>
          <w:sz w:val="32"/>
          <w:szCs w:val="32"/>
        </w:rPr>
        <w:t>〕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87</w:t>
      </w:r>
      <w:r>
        <w:rPr>
          <w:rFonts w:eastAsia="仿宋_GB2312"/>
          <w:sz w:val="32"/>
          <w:szCs w:val="32"/>
        </w:rPr>
        <w:t>号</w:t>
      </w:r>
      <w:r>
        <w:rPr>
          <w:rFonts w:eastAsia="仿宋_GB2312"/>
          <w:sz w:val="32"/>
          <w:szCs w:val="32"/>
        </w:rPr>
        <w:t xml:space="preserve">               </w:t>
      </w:r>
      <w:r>
        <w:rPr>
          <w:rFonts w:eastAsia="仿宋_GB2312"/>
          <w:sz w:val="32"/>
          <w:szCs w:val="32"/>
        </w:rPr>
        <w:t>签发人：</w:t>
      </w:r>
      <w:r>
        <w:rPr>
          <w:rFonts w:eastAsia="仿宋_GB2312" w:hint="eastAsia"/>
          <w:sz w:val="32"/>
          <w:szCs w:val="32"/>
        </w:rPr>
        <w:t>邹</w:t>
      </w:r>
      <w:r>
        <w:rPr>
          <w:rFonts w:eastAsia="仿宋_GB2312" w:hint="eastAsia"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潇</w:t>
      </w:r>
    </w:p>
    <w:p w:rsidR="00B00E96" w:rsidRDefault="00B00E96" w:rsidP="004128CA">
      <w:pPr>
        <w:spacing w:line="440" w:lineRule="exact"/>
        <w:jc w:val="center"/>
        <w:rPr>
          <w:rFonts w:eastAsia="方正小标宋简体"/>
          <w:sz w:val="44"/>
          <w:szCs w:val="44"/>
        </w:rPr>
      </w:pPr>
    </w:p>
    <w:p w:rsidR="00B00E96" w:rsidRDefault="00B63F01" w:rsidP="004128CA">
      <w:pPr>
        <w:spacing w:line="440" w:lineRule="exact"/>
        <w:jc w:val="center"/>
        <w:rPr>
          <w:rFonts w:ascii="方正小标宋_GBK" w:eastAsia="方正小标宋_GBK"/>
          <w:color w:val="000000"/>
          <w:spacing w:val="20"/>
          <w:sz w:val="44"/>
          <w:szCs w:val="44"/>
        </w:rPr>
      </w:pPr>
      <w:r>
        <w:rPr>
          <w:rFonts w:ascii="方正小标宋_GBK" w:eastAsia="方正小标宋_GBK" w:hint="eastAsia"/>
          <w:color w:val="000000"/>
          <w:spacing w:val="20"/>
          <w:sz w:val="44"/>
          <w:szCs w:val="44"/>
        </w:rPr>
        <w:t>对市政协十四届四次会议</w:t>
      </w:r>
    </w:p>
    <w:p w:rsidR="00B00E96" w:rsidRDefault="00B63F01" w:rsidP="004128CA">
      <w:pPr>
        <w:spacing w:line="440" w:lineRule="exact"/>
        <w:jc w:val="center"/>
        <w:rPr>
          <w:rFonts w:ascii="方正小标宋_GBK" w:eastAsia="方正小标宋_GBK"/>
          <w:color w:val="000000"/>
          <w:sz w:val="44"/>
          <w:szCs w:val="44"/>
        </w:rPr>
      </w:pPr>
      <w:r>
        <w:rPr>
          <w:rFonts w:ascii="方正小标宋_GBK" w:eastAsia="方正小标宋_GBK" w:hint="eastAsia"/>
          <w:color w:val="000000"/>
          <w:sz w:val="44"/>
          <w:szCs w:val="44"/>
        </w:rPr>
        <w:t>第</w:t>
      </w:r>
      <w:r>
        <w:rPr>
          <w:rFonts w:ascii="Times New Roman" w:eastAsia="方正小标宋_GBK" w:hAnsi="Times New Roman" w:cs="Times New Roman" w:hint="eastAsia"/>
          <w:color w:val="000000"/>
          <w:sz w:val="44"/>
          <w:szCs w:val="44"/>
        </w:rPr>
        <w:t>44108</w:t>
      </w:r>
      <w:r>
        <w:rPr>
          <w:rFonts w:ascii="方正小标宋_GBK" w:eastAsia="方正小标宋_GBK" w:hint="eastAsia"/>
          <w:color w:val="000000"/>
          <w:sz w:val="44"/>
          <w:szCs w:val="44"/>
        </w:rPr>
        <w:t>号</w:t>
      </w:r>
      <w:r>
        <w:rPr>
          <w:rFonts w:ascii="方正小标宋_GBK" w:eastAsia="方正小标宋_GBK" w:hint="eastAsia"/>
          <w:color w:val="000000"/>
          <w:sz w:val="44"/>
          <w:szCs w:val="44"/>
        </w:rPr>
        <w:t>提案</w:t>
      </w:r>
      <w:r>
        <w:rPr>
          <w:rFonts w:ascii="方正小标宋_GBK" w:eastAsia="方正小标宋_GBK" w:hint="eastAsia"/>
          <w:color w:val="000000"/>
          <w:sz w:val="44"/>
          <w:szCs w:val="44"/>
        </w:rPr>
        <w:t>的</w:t>
      </w:r>
      <w:r>
        <w:rPr>
          <w:rFonts w:ascii="方正小标宋_GBK" w:eastAsia="方正小标宋_GBK" w:hint="eastAsia"/>
          <w:color w:val="000000"/>
          <w:sz w:val="44"/>
          <w:szCs w:val="44"/>
        </w:rPr>
        <w:t>答复</w:t>
      </w:r>
    </w:p>
    <w:p w:rsidR="00B00E96" w:rsidRDefault="00B00E96" w:rsidP="004128CA">
      <w:pPr>
        <w:spacing w:line="440" w:lineRule="exact"/>
        <w:rPr>
          <w:rFonts w:eastAsia="仿宋_GB2312"/>
          <w:sz w:val="32"/>
          <w:szCs w:val="32"/>
        </w:rPr>
      </w:pPr>
    </w:p>
    <w:p w:rsidR="00B00E96" w:rsidRDefault="00B63F01" w:rsidP="004128CA">
      <w:pPr>
        <w:spacing w:line="440" w:lineRule="exact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程呈委员：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您提出的《关于加强我市中小学周边“小饭桌”管理的建议》收悉，现答复如下：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“小饭桌”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（托管机构）</w:t>
      </w:r>
      <w:r>
        <w:rPr>
          <w:rFonts w:ascii="仿宋_GB2312" w:eastAsia="仿宋_GB2312" w:hAnsi="等线" w:hint="eastAsia"/>
          <w:sz w:val="32"/>
          <w:szCs w:val="32"/>
        </w:rPr>
        <w:t>是近年来中小学周边区域出现的新兴行业，为学生提供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非在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校时段就餐、休息、接送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和</w:t>
      </w:r>
      <w:r>
        <w:rPr>
          <w:rFonts w:ascii="仿宋_GB2312" w:eastAsia="仿宋_GB2312" w:hAnsi="等线" w:hint="eastAsia"/>
          <w:sz w:val="32"/>
          <w:szCs w:val="32"/>
        </w:rPr>
        <w:t>学习等服务，为许多无法及时接送孩子的家长解决了后顾之忧，一定程度上为学生提供了便利、为家长减轻了负担。诚如您说，现实中“小饭桌”缺少统一的管理机制，存在消防食品等安全隐患、影响周边居民生活与出行和违规开展学科培训等情形，其规范性、合法性颇受家长们担忧，亟待引起社会重视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根据《</w:t>
      </w:r>
      <w:r>
        <w:rPr>
          <w:rFonts w:ascii="Times New Roman" w:eastAsia="仿宋_GB2312" w:hAnsi="Times New Roman" w:hint="eastAsia"/>
          <w:sz w:val="32"/>
          <w:szCs w:val="32"/>
        </w:rPr>
        <w:t>2017</w:t>
      </w:r>
      <w:r>
        <w:rPr>
          <w:rFonts w:ascii="仿宋_GB2312" w:eastAsia="仿宋_GB2312" w:hAnsi="等线" w:hint="eastAsia"/>
          <w:sz w:val="32"/>
          <w:szCs w:val="32"/>
        </w:rPr>
        <w:t>国民经济行业分类注释》，“小饭桌”（托管机构）若单纯提供接送、休息、看护服务，目前属于一般许可事项，无需前置许可，属于</w:t>
      </w:r>
      <w:r>
        <w:rPr>
          <w:rFonts w:ascii="仿宋_GB2312" w:eastAsia="仿宋_GB2312" w:hAnsi="等线" w:hint="eastAsia"/>
          <w:sz w:val="32"/>
          <w:szCs w:val="32"/>
        </w:rPr>
        <w:t>O</w:t>
      </w:r>
      <w:r>
        <w:rPr>
          <w:rFonts w:ascii="仿宋_GB2312" w:eastAsia="仿宋_GB2312" w:hAnsi="等线" w:hint="eastAsia"/>
          <w:sz w:val="32"/>
          <w:szCs w:val="32"/>
        </w:rPr>
        <w:t>门类</w:t>
      </w:r>
      <w:r>
        <w:rPr>
          <w:rFonts w:ascii="Times New Roman" w:eastAsia="仿宋_GB2312" w:hAnsi="Times New Roman" w:hint="eastAsia"/>
          <w:sz w:val="32"/>
          <w:szCs w:val="32"/>
        </w:rPr>
        <w:t>80</w:t>
      </w:r>
      <w:r>
        <w:rPr>
          <w:rFonts w:ascii="仿宋_GB2312" w:eastAsia="仿宋_GB2312" w:hAnsi="等线" w:hint="eastAsia"/>
          <w:sz w:val="32"/>
          <w:szCs w:val="32"/>
        </w:rPr>
        <w:t>大类</w:t>
      </w:r>
      <w:r>
        <w:rPr>
          <w:rFonts w:ascii="Times New Roman" w:eastAsia="仿宋_GB2312" w:hAnsi="Times New Roman" w:hint="eastAsia"/>
          <w:sz w:val="32"/>
          <w:szCs w:val="32"/>
        </w:rPr>
        <w:t>809</w:t>
      </w:r>
      <w:r>
        <w:rPr>
          <w:rFonts w:ascii="仿宋_GB2312" w:eastAsia="仿宋_GB2312" w:hAnsi="等线" w:hint="eastAsia"/>
          <w:sz w:val="32"/>
          <w:szCs w:val="32"/>
        </w:rPr>
        <w:t>中类</w:t>
      </w:r>
      <w:r>
        <w:rPr>
          <w:rFonts w:ascii="Times New Roman" w:eastAsia="仿宋_GB2312" w:hAnsi="Times New Roman" w:hint="eastAsia"/>
          <w:sz w:val="32"/>
          <w:szCs w:val="32"/>
        </w:rPr>
        <w:t>8090</w:t>
      </w:r>
      <w:r>
        <w:rPr>
          <w:rFonts w:ascii="仿宋_GB2312" w:eastAsia="仿宋_GB2312" w:hAnsi="等线" w:hint="eastAsia"/>
          <w:sz w:val="32"/>
          <w:szCs w:val="32"/>
        </w:rPr>
        <w:t>小类其他居民服务业，不在《行政许可事项清单》中，为一般经营性市场主体，尚无明</w:t>
      </w:r>
      <w:r>
        <w:rPr>
          <w:rFonts w:ascii="仿宋_GB2312" w:eastAsia="仿宋_GB2312" w:hAnsi="等线" w:hint="eastAsia"/>
          <w:sz w:val="32"/>
          <w:szCs w:val="32"/>
        </w:rPr>
        <w:t>确主管部门，登记即可营业（分营利性和非营利性，营利性的由市场监管或行政审批部门登记，非营利性的由民政部门登记）。如果同时从事课余学科辅导、教育培训、餐饮、住宿类的服务，则属于“先照后证”的审批事项，虽然可以先行商事登记，但需取得相应的经营许可证或备案后方可从事经营活动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仿宋_GB2312" w:eastAsia="仿宋_GB2312" w:hAnsi="等线" w:hint="eastAsia"/>
          <w:sz w:val="32"/>
          <w:szCs w:val="32"/>
        </w:rPr>
        <w:t>市市场监管局会同市教育局、公安局、消防支队相关负责同志，认真学习研判您提出的《关于加强我市中小学周边“小饭桌”管理的建议》，通过调研、会商，结合提案中“明确监管部门，建立长效监管机制；创新监管模式，实施备案管理；政府引导、探索经营新模式”工</w:t>
      </w:r>
      <w:r>
        <w:rPr>
          <w:rFonts w:ascii="仿宋_GB2312" w:eastAsia="仿宋_GB2312" w:hAnsi="等线" w:hint="eastAsia"/>
          <w:sz w:val="32"/>
          <w:szCs w:val="32"/>
        </w:rPr>
        <w:t>作思路，拟进一步加强我市中小学周边“小</w:t>
      </w:r>
      <w:r>
        <w:rPr>
          <w:rFonts w:ascii="仿宋_GB2312" w:eastAsia="仿宋_GB2312" w:hAnsi="等线" w:hint="eastAsia"/>
          <w:sz w:val="32"/>
          <w:szCs w:val="32"/>
        </w:rPr>
        <w:lastRenderedPageBreak/>
        <w:t>饭桌”管理。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市教育局</w:t>
      </w:r>
      <w:r>
        <w:rPr>
          <w:rFonts w:ascii="仿宋_GB2312" w:eastAsia="仿宋_GB2312" w:hAnsi="等线" w:hint="eastAsia"/>
          <w:sz w:val="32"/>
          <w:szCs w:val="32"/>
        </w:rPr>
        <w:t>针对“小饭桌”（托管机构）中违规学科培训行为加大查处力度，努力保障学生身心健康和安全。</w:t>
      </w:r>
      <w:r>
        <w:rPr>
          <w:rFonts w:ascii="楷体" w:eastAsia="楷体" w:hAnsi="楷体" w:cs="楷体" w:hint="eastAsia"/>
          <w:sz w:val="32"/>
          <w:szCs w:val="32"/>
        </w:rPr>
        <w:t>一是加强排查检查，加大查处力度。</w:t>
      </w:r>
      <w:r>
        <w:rPr>
          <w:rFonts w:ascii="仿宋_GB2312" w:eastAsia="仿宋_GB2312" w:hAnsi="等线"/>
          <w:sz w:val="32"/>
          <w:szCs w:val="32"/>
        </w:rPr>
        <w:t>围绕隐形变异学科类培训等重点问题，会同相关部门加强排查检查，及时查处违规培训行为。截至目前，累计排查各类机构</w:t>
      </w:r>
      <w:r>
        <w:rPr>
          <w:rFonts w:ascii="Times New Roman" w:eastAsia="仿宋_GB2312" w:hAnsi="Times New Roman"/>
          <w:sz w:val="32"/>
          <w:szCs w:val="32"/>
        </w:rPr>
        <w:t>20000</w:t>
      </w:r>
      <w:r>
        <w:rPr>
          <w:rFonts w:ascii="仿宋_GB2312" w:eastAsia="仿宋_GB2312" w:hAnsi="等线"/>
          <w:sz w:val="32"/>
          <w:szCs w:val="32"/>
        </w:rPr>
        <w:t>余家次（含托管机构），依法查处违规机构</w:t>
      </w:r>
      <w:r>
        <w:rPr>
          <w:rFonts w:ascii="Times New Roman" w:eastAsia="仿宋_GB2312" w:hAnsi="Times New Roman"/>
          <w:sz w:val="32"/>
          <w:szCs w:val="32"/>
        </w:rPr>
        <w:t>300</w:t>
      </w:r>
      <w:r>
        <w:rPr>
          <w:rFonts w:ascii="仿宋_GB2312" w:eastAsia="仿宋_GB2312" w:hAnsi="等线"/>
          <w:sz w:val="32"/>
          <w:szCs w:val="32"/>
        </w:rPr>
        <w:t>余家，并公布多起违规学科类校外培训查处案例（涉及多家托管机构），切实发挥警示震慑作用。</w:t>
      </w:r>
      <w:r>
        <w:rPr>
          <w:rFonts w:ascii="楷体" w:eastAsia="楷体" w:hAnsi="楷体" w:cs="楷体"/>
          <w:sz w:val="32"/>
          <w:szCs w:val="32"/>
        </w:rPr>
        <w:t>二是广泛宣传引导，强化社会监督。</w:t>
      </w:r>
      <w:r>
        <w:rPr>
          <w:rFonts w:ascii="仿宋_GB2312" w:eastAsia="仿宋_GB2312" w:hAnsi="等线"/>
          <w:sz w:val="32"/>
          <w:szCs w:val="32"/>
        </w:rPr>
        <w:t>通过微信公众号等发布致家长一封信、规范校外培训提醒等信息，并通过学校向家长发放提醒函，引导家长树立正确教育观念，抵制违规培训，选择合规机构，维护自身合法权益。同时，向社会公布并畅通投诉举报渠道，鼓励社会参与监督，并及时核查投诉举报线索，做到举报一起、核实一起、查处一起。</w:t>
      </w:r>
      <w:r>
        <w:rPr>
          <w:rFonts w:ascii="仿宋_GB2312" w:eastAsia="仿宋_GB2312" w:hAnsi="等线" w:hint="eastAsia"/>
          <w:sz w:val="32"/>
          <w:szCs w:val="32"/>
        </w:rPr>
        <w:t>对发现的</w:t>
      </w:r>
      <w:r>
        <w:rPr>
          <w:rFonts w:ascii="仿宋_GB2312" w:eastAsia="仿宋_GB2312" w:hAnsi="等线"/>
          <w:sz w:val="32"/>
          <w:szCs w:val="32"/>
        </w:rPr>
        <w:t>一些</w:t>
      </w:r>
      <w:r>
        <w:rPr>
          <w:rFonts w:ascii="仿宋_GB2312" w:eastAsia="仿宋_GB2312" w:hAnsi="等线"/>
          <w:sz w:val="32"/>
          <w:szCs w:val="32"/>
        </w:rPr>
        <w:t>“</w:t>
      </w:r>
      <w:r>
        <w:rPr>
          <w:rFonts w:ascii="仿宋_GB2312" w:eastAsia="仿宋_GB2312" w:hAnsi="等线"/>
          <w:sz w:val="32"/>
          <w:szCs w:val="32"/>
        </w:rPr>
        <w:t>小饭桌</w:t>
      </w:r>
      <w:r>
        <w:rPr>
          <w:rFonts w:ascii="仿宋_GB2312" w:eastAsia="仿宋_GB2312" w:hAnsi="等线"/>
          <w:sz w:val="32"/>
          <w:szCs w:val="32"/>
        </w:rPr>
        <w:t>”</w:t>
      </w:r>
      <w:r>
        <w:rPr>
          <w:rFonts w:ascii="仿宋_GB2312" w:eastAsia="仿宋_GB2312" w:hAnsi="等线"/>
          <w:sz w:val="32"/>
          <w:szCs w:val="32"/>
        </w:rPr>
        <w:t>（托管机构）位于民房、小区或其他店铺内，存在隐蔽性强、安全隐患大、监管难度高等问题</w:t>
      </w:r>
      <w:r>
        <w:rPr>
          <w:rFonts w:ascii="仿宋_GB2312" w:eastAsia="仿宋_GB2312" w:hAnsi="等线" w:hint="eastAsia"/>
          <w:sz w:val="32"/>
          <w:szCs w:val="32"/>
        </w:rPr>
        <w:t>，</w:t>
      </w:r>
      <w:r>
        <w:rPr>
          <w:rFonts w:ascii="仿宋_GB2312" w:eastAsia="仿宋_GB2312" w:hAnsi="等线"/>
          <w:sz w:val="32"/>
          <w:szCs w:val="32"/>
        </w:rPr>
        <w:t>教育部门将加强政策宣传，引导家长选择合规机构，结合自身职能，积极配合相关部门加强对</w:t>
      </w:r>
      <w:r>
        <w:rPr>
          <w:rFonts w:ascii="仿宋_GB2312" w:eastAsia="仿宋_GB2312" w:hAnsi="等线"/>
          <w:sz w:val="32"/>
          <w:szCs w:val="32"/>
        </w:rPr>
        <w:t>“</w:t>
      </w:r>
      <w:r>
        <w:rPr>
          <w:rFonts w:ascii="仿宋_GB2312" w:eastAsia="仿宋_GB2312" w:hAnsi="等线"/>
          <w:sz w:val="32"/>
          <w:szCs w:val="32"/>
        </w:rPr>
        <w:t>小饭桌</w:t>
      </w:r>
      <w:r>
        <w:rPr>
          <w:rFonts w:ascii="仿宋_GB2312" w:eastAsia="仿宋_GB2312" w:hAnsi="等线"/>
          <w:sz w:val="32"/>
          <w:szCs w:val="32"/>
        </w:rPr>
        <w:t>”</w:t>
      </w:r>
      <w:r>
        <w:rPr>
          <w:rFonts w:ascii="仿宋_GB2312" w:eastAsia="仿宋_GB2312" w:hAnsi="等线"/>
          <w:sz w:val="32"/>
          <w:szCs w:val="32"/>
        </w:rPr>
        <w:t>（托管机构）安全、卫生等方面监管，努力保障学</w:t>
      </w:r>
      <w:r>
        <w:rPr>
          <w:rFonts w:ascii="仿宋_GB2312" w:eastAsia="仿宋_GB2312" w:hAnsi="等线"/>
          <w:sz w:val="32"/>
          <w:szCs w:val="32"/>
        </w:rPr>
        <w:t>生身心健康和安全。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市公安局</w:t>
      </w:r>
      <w:r>
        <w:rPr>
          <w:rFonts w:ascii="仿宋_GB2312" w:eastAsia="仿宋_GB2312" w:hAnsi="等线" w:hint="eastAsia"/>
          <w:sz w:val="32"/>
          <w:szCs w:val="32"/>
        </w:rPr>
        <w:t>针对监管职责内的小餐饮场所，尤其是校园周边“小饭桌”等消防安全监管存在的薄弱环节，多措并举助力整治行动向纵深开展，积极配合有关部门维护校园周边良好秩序。</w:t>
      </w:r>
      <w:r>
        <w:rPr>
          <w:rFonts w:ascii="楷体" w:eastAsia="楷体" w:hAnsi="楷体" w:cs="楷体" w:hint="eastAsia"/>
          <w:sz w:val="32"/>
          <w:szCs w:val="32"/>
        </w:rPr>
        <w:t>一是高标部署推进，全力压实责任。</w:t>
      </w:r>
      <w:r>
        <w:rPr>
          <w:rFonts w:ascii="仿宋_GB2312" w:eastAsia="仿宋_GB2312" w:hAnsi="等线" w:hint="eastAsia"/>
          <w:sz w:val="32"/>
          <w:szCs w:val="32"/>
        </w:rPr>
        <w:t>部署开展“九小场所”等隐患排查整治专项行动，先后制定下发《全市公安机关“九小场所”隐患排查整治专项行动工作方案》《关于进一步做好“九小场所”消防安全监管工作的通知》《全市公安机关冬春火灾风险隐患专项整治行动方案》等一系列文件，督促指导公安派出所开展“九小场所”等消防安全隐患专项整治工作，</w:t>
      </w:r>
      <w:r>
        <w:rPr>
          <w:rFonts w:ascii="仿宋_GB2312" w:eastAsia="仿宋_GB2312" w:hAnsi="等线" w:hint="eastAsia"/>
          <w:b/>
          <w:bCs/>
          <w:sz w:val="32"/>
          <w:szCs w:val="32"/>
        </w:rPr>
        <w:t>特别是将中小</w:t>
      </w:r>
      <w:r>
        <w:rPr>
          <w:rFonts w:ascii="仿宋_GB2312" w:eastAsia="仿宋_GB2312" w:hAnsi="等线" w:hint="eastAsia"/>
          <w:b/>
          <w:bCs/>
          <w:sz w:val="32"/>
          <w:szCs w:val="32"/>
        </w:rPr>
        <w:t>学周边的“九小场所”（“小饭桌”）</w:t>
      </w:r>
      <w:r>
        <w:rPr>
          <w:rFonts w:ascii="仿宋_GB2312" w:eastAsia="仿宋_GB2312" w:hAnsi="等线" w:hint="eastAsia"/>
          <w:sz w:val="32"/>
          <w:szCs w:val="32"/>
        </w:rPr>
        <w:t>作为整治重点，始终保持忧患意识和底线思维，压紧压实属地公安机关责任。</w:t>
      </w:r>
      <w:r>
        <w:rPr>
          <w:rFonts w:ascii="楷体" w:eastAsia="楷体" w:hAnsi="楷体" w:cs="楷体" w:hint="eastAsia"/>
          <w:sz w:val="32"/>
          <w:szCs w:val="32"/>
        </w:rPr>
        <w:t>二是聚焦隐患排查，</w:t>
      </w:r>
      <w:r>
        <w:rPr>
          <w:rFonts w:ascii="楷体" w:eastAsia="楷体" w:hAnsi="楷体" w:cs="楷体" w:hint="eastAsia"/>
          <w:sz w:val="32"/>
          <w:szCs w:val="32"/>
        </w:rPr>
        <w:lastRenderedPageBreak/>
        <w:t>实现全面整治。</w:t>
      </w:r>
      <w:r>
        <w:rPr>
          <w:rFonts w:ascii="仿宋_GB2312" w:eastAsia="仿宋_GB2312" w:hAnsi="等线" w:hint="eastAsia"/>
          <w:sz w:val="32"/>
          <w:szCs w:val="32"/>
        </w:rPr>
        <w:t>按照属地管理原则，对辖区公安机关监管范围内的“九小场所”等消防安全薄弱环节进行“拉网式”排查，全面整治消防安全管理制度不落实、违规搭建、违章操作、违规住人、违规使用燃气、违规储存使用易燃易爆危险品、电气线路老化、疏散通道不畅、消防设施损坏、安全培训演练不到位等问题，要求“九小场所”经营业主张贴消防安全告知书、消防安全责任书等。主动配合教育、消防救援、乡镇（街道）政府等部门开展</w:t>
      </w:r>
      <w:r>
        <w:rPr>
          <w:rFonts w:ascii="仿宋_GB2312" w:eastAsia="仿宋_GB2312" w:hAnsi="等线" w:hint="eastAsia"/>
          <w:sz w:val="32"/>
          <w:szCs w:val="32"/>
        </w:rPr>
        <w:t>联合执法，指导经营业主建立健全消防安全管理责任制度和措施。整治期间，共排查登记公安机关监管范围内的小餐饮场所</w:t>
      </w:r>
      <w:r>
        <w:rPr>
          <w:rFonts w:ascii="Times New Roman" w:eastAsia="仿宋_GB2312" w:hAnsi="Times New Roman" w:hint="eastAsia"/>
          <w:sz w:val="32"/>
          <w:szCs w:val="32"/>
        </w:rPr>
        <w:t>1865</w:t>
      </w:r>
      <w:r>
        <w:rPr>
          <w:rFonts w:ascii="仿宋_GB2312" w:eastAsia="仿宋_GB2312" w:hAnsi="等线" w:hint="eastAsia"/>
          <w:sz w:val="32"/>
          <w:szCs w:val="32"/>
        </w:rPr>
        <w:t>家，发现各类安全隐患</w:t>
      </w:r>
      <w:r>
        <w:rPr>
          <w:rFonts w:ascii="Times New Roman" w:eastAsia="仿宋_GB2312" w:hAnsi="Times New Roman" w:hint="eastAsia"/>
          <w:sz w:val="32"/>
          <w:szCs w:val="32"/>
        </w:rPr>
        <w:t>3212</w:t>
      </w:r>
      <w:r>
        <w:rPr>
          <w:rFonts w:ascii="仿宋_GB2312" w:eastAsia="仿宋_GB2312" w:hAnsi="等线" w:hint="eastAsia"/>
          <w:sz w:val="32"/>
          <w:szCs w:val="32"/>
        </w:rPr>
        <w:t>处，整改隐患</w:t>
      </w:r>
      <w:r>
        <w:rPr>
          <w:rFonts w:ascii="Times New Roman" w:eastAsia="仿宋_GB2312" w:hAnsi="Times New Roman" w:hint="eastAsia"/>
          <w:sz w:val="32"/>
          <w:szCs w:val="32"/>
        </w:rPr>
        <w:t>2756</w:t>
      </w:r>
      <w:r>
        <w:rPr>
          <w:rFonts w:ascii="仿宋_GB2312" w:eastAsia="仿宋_GB2312" w:hAnsi="等线" w:hint="eastAsia"/>
          <w:sz w:val="32"/>
          <w:szCs w:val="32"/>
        </w:rPr>
        <w:t>处。通过深入排查整治及时消除了一批消防安全隐患，有效维护了辖区小餐饮场所良好的消防安全环境。</w:t>
      </w:r>
      <w:r>
        <w:rPr>
          <w:rFonts w:ascii="楷体" w:eastAsia="楷体" w:hAnsi="楷体" w:cs="楷体" w:hint="eastAsia"/>
          <w:sz w:val="32"/>
          <w:szCs w:val="32"/>
        </w:rPr>
        <w:t>三是强化宣传教育，提升防范意识。</w:t>
      </w:r>
      <w:r>
        <w:rPr>
          <w:rFonts w:ascii="仿宋_GB2312" w:eastAsia="仿宋_GB2312" w:hAnsi="仿宋_GB2312" w:cs="仿宋_GB2312" w:hint="eastAsia"/>
          <w:sz w:val="32"/>
          <w:szCs w:val="32"/>
        </w:rPr>
        <w:t>市公安局和消防救援机构持续</w:t>
      </w:r>
      <w:r>
        <w:rPr>
          <w:rFonts w:ascii="仿宋_GB2312" w:eastAsia="仿宋_GB2312" w:hAnsi="仿宋_GB2312" w:cs="仿宋_GB2312" w:hint="eastAsia"/>
          <w:sz w:val="32"/>
          <w:szCs w:val="32"/>
        </w:rPr>
        <w:t>深化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楷体" w:eastAsia="楷体" w:hAnsi="楷体" w:cs="楷体" w:hint="eastAsia"/>
          <w:b/>
          <w:bCs/>
          <w:sz w:val="32"/>
          <w:szCs w:val="32"/>
        </w:rPr>
        <w:t>“六联”工作机制</w:t>
      </w:r>
      <w:r>
        <w:rPr>
          <w:rFonts w:ascii="仿宋_GB2312" w:eastAsia="仿宋_GB2312" w:hAnsi="等线" w:hint="eastAsia"/>
          <w:sz w:val="32"/>
          <w:szCs w:val="32"/>
        </w:rPr>
        <w:t>，进一步加大协作配合力度，强化防火宣传教育。组织治安部门、派出所民辅警、治安志愿者、网格员等深入“九小场所”，加强校园周边“小饭桌”等场所消防安全知识普及教育，提高经营业主的消防安全意识和做好消防安全工作的自觉性。行动以来，共发放宣传资料</w:t>
      </w:r>
      <w:r>
        <w:rPr>
          <w:rFonts w:ascii="Times New Roman" w:eastAsia="仿宋_GB2312" w:hAnsi="Times New Roman" w:hint="eastAsia"/>
          <w:sz w:val="32"/>
          <w:szCs w:val="32"/>
        </w:rPr>
        <w:t>30000</w:t>
      </w:r>
      <w:r>
        <w:rPr>
          <w:rFonts w:ascii="仿宋_GB2312" w:eastAsia="仿宋_GB2312" w:hAnsi="等线" w:hint="eastAsia"/>
          <w:sz w:val="32"/>
          <w:szCs w:val="32"/>
        </w:rPr>
        <w:t>余份，悬挂横幅</w:t>
      </w:r>
      <w:r>
        <w:rPr>
          <w:rFonts w:ascii="Times New Roman" w:eastAsia="仿宋_GB2312" w:hAnsi="Times New Roman" w:hint="eastAsia"/>
          <w:sz w:val="32"/>
          <w:szCs w:val="32"/>
        </w:rPr>
        <w:t>380</w:t>
      </w:r>
      <w:r>
        <w:rPr>
          <w:rFonts w:ascii="仿宋_GB2312" w:eastAsia="仿宋_GB2312" w:hAnsi="等线" w:hint="eastAsia"/>
          <w:sz w:val="32"/>
          <w:szCs w:val="32"/>
        </w:rPr>
        <w:t>余条，开展集中培训</w:t>
      </w:r>
      <w:r>
        <w:rPr>
          <w:rFonts w:ascii="Times New Roman" w:eastAsia="仿宋_GB2312" w:hAnsi="Times New Roman" w:hint="eastAsia"/>
          <w:sz w:val="32"/>
          <w:szCs w:val="32"/>
        </w:rPr>
        <w:t>296</w:t>
      </w:r>
      <w:r>
        <w:rPr>
          <w:rFonts w:ascii="仿宋_GB2312" w:eastAsia="仿宋_GB2312" w:hAnsi="等线" w:hint="eastAsia"/>
          <w:sz w:val="32"/>
          <w:szCs w:val="32"/>
        </w:rPr>
        <w:t>次，组织现场演练</w:t>
      </w:r>
      <w:r>
        <w:rPr>
          <w:rFonts w:ascii="Times New Roman" w:eastAsia="仿宋_GB2312" w:hAnsi="Times New Roman" w:hint="eastAsia"/>
          <w:sz w:val="32"/>
          <w:szCs w:val="32"/>
        </w:rPr>
        <w:t>412</w:t>
      </w:r>
      <w:r>
        <w:rPr>
          <w:rFonts w:ascii="仿宋_GB2312" w:eastAsia="仿宋_GB2312" w:hAnsi="等线" w:hint="eastAsia"/>
          <w:sz w:val="32"/>
          <w:szCs w:val="32"/>
        </w:rPr>
        <w:t>次，经营业主消防安全防范意识有了明显提升。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市消防救援支队</w:t>
      </w:r>
      <w:r>
        <w:rPr>
          <w:rFonts w:ascii="仿宋_GB2312" w:eastAsia="仿宋_GB2312" w:hAnsi="等线" w:hint="eastAsia"/>
          <w:sz w:val="32"/>
          <w:szCs w:val="32"/>
        </w:rPr>
        <w:t>结合自身工作职责，</w:t>
      </w:r>
      <w:r>
        <w:rPr>
          <w:rFonts w:ascii="楷体" w:eastAsia="楷体" w:hAnsi="楷体" w:cs="楷体" w:hint="eastAsia"/>
          <w:sz w:val="32"/>
          <w:szCs w:val="32"/>
        </w:rPr>
        <w:t>一是加强日常消防监督检查。</w:t>
      </w:r>
      <w:r>
        <w:rPr>
          <w:rFonts w:ascii="仿宋_GB2312" w:eastAsia="仿宋_GB2312" w:hAnsi="等线" w:hint="eastAsia"/>
          <w:sz w:val="32"/>
          <w:szCs w:val="32"/>
        </w:rPr>
        <w:t>根据市政府关于消防安全分级监管的有关规定，对符合消防救援机构直接监管范围的“小饭桌”及时纳入监管</w:t>
      </w:r>
      <w:r>
        <w:rPr>
          <w:rFonts w:ascii="仿宋_GB2312" w:eastAsia="仿宋_GB2312" w:hAnsi="等线" w:hint="eastAsia"/>
          <w:sz w:val="32"/>
          <w:szCs w:val="32"/>
        </w:rPr>
        <w:t>范围，对属于公安派出所、乡镇街道监管的，依据《中华人民共和国消防法》《消防监督管理规定》等法律法规，依法指导公安派出所、乡镇消防工作站开展日常消防监督检查，对小饭桌进行常态化监管。同时，在寒假、暑期等学生集中在小饭桌的特殊时段，组织开展专项集中检查，全面排查消防安全隐患。</w:t>
      </w:r>
      <w:r>
        <w:rPr>
          <w:rFonts w:ascii="楷体" w:eastAsia="楷体" w:hAnsi="楷体" w:cs="楷体" w:hint="eastAsia"/>
          <w:sz w:val="32"/>
          <w:szCs w:val="32"/>
        </w:rPr>
        <w:t>二是联合执法形成监管合力。</w:t>
      </w:r>
      <w:r>
        <w:rPr>
          <w:rFonts w:ascii="仿宋_GB2312" w:eastAsia="仿宋_GB2312" w:hAnsi="等线" w:hint="eastAsia"/>
          <w:sz w:val="32"/>
          <w:szCs w:val="32"/>
        </w:rPr>
        <w:t>主动加强与教育、市场监管、公安等部门的联动配合，定期开展联合执法检查，共同分析研判小饭桌消防安全问题，形成</w:t>
      </w:r>
      <w:r>
        <w:rPr>
          <w:rFonts w:ascii="仿宋_GB2312" w:eastAsia="仿宋_GB2312" w:hAnsi="等线" w:hint="eastAsia"/>
          <w:sz w:val="32"/>
          <w:szCs w:val="32"/>
        </w:rPr>
        <w:lastRenderedPageBreak/>
        <w:t>监管合力。通过联合执法，对发现的消防设施未保持完好有效、占用疏散通道、外窗违规设置铁栅栏等违法行为，及时责令</w:t>
      </w:r>
      <w:r>
        <w:rPr>
          <w:rFonts w:ascii="仿宋_GB2312" w:eastAsia="仿宋_GB2312" w:hAnsi="等线" w:hint="eastAsia"/>
          <w:sz w:val="32"/>
          <w:szCs w:val="32"/>
        </w:rPr>
        <w:t>改正。</w:t>
      </w:r>
      <w:r>
        <w:rPr>
          <w:rFonts w:ascii="楷体" w:eastAsia="楷体" w:hAnsi="楷体" w:cs="楷体" w:hint="eastAsia"/>
          <w:sz w:val="32"/>
          <w:szCs w:val="32"/>
        </w:rPr>
        <w:t>三是加强消防宣传教育。</w:t>
      </w:r>
      <w:r>
        <w:rPr>
          <w:rFonts w:ascii="楷体" w:eastAsia="楷体" w:hAnsi="楷体" w:cs="楷体" w:hint="eastAsia"/>
          <w:sz w:val="32"/>
          <w:szCs w:val="32"/>
        </w:rPr>
        <w:t> </w:t>
      </w:r>
      <w:r>
        <w:rPr>
          <w:rFonts w:ascii="仿宋_GB2312" w:eastAsia="仿宋_GB2312" w:hAnsi="等线" w:hint="eastAsia"/>
          <w:sz w:val="32"/>
          <w:szCs w:val="32"/>
        </w:rPr>
        <w:t>结合当前开展的各类消防专项整治。利用“连云港消防”微信、都信等新媒体平台广泛发布消防法律法规、消防知识、预警提示等内容。指导派出所在日常检查的同时，加强对小饭桌的宣传提示和安全提醒，督促小饭桌落实消防安全主体责任。发动基层力量定期组织小饭桌员工开展消防培训和演练，提高自防自救能力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等线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市市场监管局</w:t>
      </w:r>
      <w:r>
        <w:rPr>
          <w:rFonts w:ascii="仿宋_GB2312" w:eastAsia="仿宋_GB2312" w:hAnsi="等线" w:hint="eastAsia"/>
          <w:sz w:val="32"/>
          <w:szCs w:val="32"/>
        </w:rPr>
        <w:t>依据职能，</w:t>
      </w:r>
      <w:r>
        <w:rPr>
          <w:rFonts w:ascii="楷体_GB2312" w:eastAsia="楷体_GB2312" w:hAnsi="楷体_GB2312" w:cs="楷体_GB2312" w:hint="eastAsia"/>
          <w:sz w:val="32"/>
          <w:szCs w:val="32"/>
        </w:rPr>
        <w:t>一是严把营利性托管机构的市场准入关。</w:t>
      </w:r>
      <w:r>
        <w:rPr>
          <w:rFonts w:ascii="仿宋_GB2312" w:eastAsia="仿宋_GB2312" w:hAnsi="等线" w:hint="eastAsia"/>
          <w:sz w:val="32"/>
          <w:szCs w:val="32"/>
        </w:rPr>
        <w:t>对符合登记条件的校外托管机构，严格审查相关申报材料，履行信用承诺制度，依法依规做好商事登记。</w:t>
      </w:r>
      <w:r>
        <w:rPr>
          <w:rFonts w:ascii="楷体_GB2312" w:eastAsia="楷体_GB2312" w:hAnsi="楷体_GB2312" w:cs="楷体_GB2312" w:hint="eastAsia"/>
          <w:sz w:val="32"/>
          <w:szCs w:val="32"/>
        </w:rPr>
        <w:t>二是严格落实“小饭桌”食品安全责任。</w:t>
      </w:r>
      <w:r>
        <w:rPr>
          <w:rFonts w:ascii="仿宋_GB2312" w:eastAsia="仿宋_GB2312" w:hAnsi="等线" w:hint="eastAsia"/>
          <w:sz w:val="32"/>
          <w:szCs w:val="32"/>
        </w:rPr>
        <w:t>根据《中华人</w:t>
      </w:r>
      <w:r>
        <w:rPr>
          <w:rFonts w:ascii="仿宋_GB2312" w:eastAsia="仿宋_GB2312" w:hAnsi="等线" w:hint="eastAsia"/>
          <w:sz w:val="32"/>
          <w:szCs w:val="32"/>
        </w:rPr>
        <w:t>民共和国食品安全法》要求，校外托管机构如提供集中供餐的，须按照许可要求，通过现场审核，取得《食品经营许可证》后方可供餐。对已取得《食品经营许可证》的校外托管机构，市场监管部门一方面督促其落实食品安全主体责任，明确“三类人”、落实“三件事”、做好“三本账”，执行《中华人民共和国食品安全法》《餐饮服务食品安全操作规范》《餐饮服务通用卫生规范》等法律法规标准要求。另一方面强化日常监督检查，严把从业人员管理、设施设备使用、食品原料进货、餐饮加工制作、餐具清洗消毒、环境卫生控制等关口，对发现的风险隐患及时督促整改，对</w:t>
      </w:r>
      <w:r>
        <w:rPr>
          <w:rFonts w:ascii="仿宋_GB2312" w:eastAsia="仿宋_GB2312" w:hAnsi="等线" w:hint="eastAsia"/>
          <w:sz w:val="32"/>
          <w:szCs w:val="32"/>
        </w:rPr>
        <w:t>违法违规行为加大查处力度。对提供食品但不提供集中供餐食品经营活动的，提醒托管机构应当从有资质的食品经营者处购买食品，索取并保留消费票证，不得购买来源不明的食品</w:t>
      </w:r>
      <w:r>
        <w:rPr>
          <w:rFonts w:ascii="楷体_GB2312" w:eastAsia="楷体_GB2312" w:hAnsi="楷体_GB2312" w:cs="楷体_GB2312" w:hint="eastAsia"/>
          <w:sz w:val="32"/>
          <w:szCs w:val="32"/>
        </w:rPr>
        <w:t>。三是实施</w:t>
      </w:r>
      <w:r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“双告知”制度</w:t>
      </w:r>
      <w:r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，</w:t>
      </w:r>
      <w:r>
        <w:rPr>
          <w:rFonts w:ascii="楷体_GB2312" w:eastAsia="楷体_GB2312" w:hAnsi="楷体_GB2312" w:cs="楷体_GB2312" w:hint="eastAsia"/>
          <w:color w:val="333333"/>
          <w:sz w:val="32"/>
          <w:szCs w:val="32"/>
          <w:shd w:val="clear" w:color="auto" w:fill="FFFFFF"/>
        </w:rPr>
        <w:t>推进信息共享。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校外托管机构注册后，通过江苏省市场监管信息平台，将相关登记信息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第一时间</w:t>
      </w:r>
      <w:r>
        <w:rPr>
          <w:rFonts w:ascii="仿宋_GB2312" w:eastAsia="仿宋_GB2312" w:hAnsi="仿宋_GB2312" w:cs="仿宋_GB2312" w:hint="eastAsia"/>
          <w:color w:val="333333"/>
          <w:sz w:val="32"/>
          <w:szCs w:val="32"/>
          <w:shd w:val="clear" w:color="auto" w:fill="FFFFFF"/>
        </w:rPr>
        <w:t>推送相关部门，确保信息共享。市场监督部门将检查结果通过江苏省市场监管平台向社会公示，将检查发现的问题推送给相关部门，实施共同监管。</w:t>
      </w:r>
      <w:r>
        <w:rPr>
          <w:rFonts w:ascii="楷体_GB2312" w:eastAsia="楷体_GB2312" w:hAnsi="楷体_GB2312" w:cs="楷体_GB2312" w:hint="eastAsia"/>
          <w:sz w:val="32"/>
          <w:szCs w:val="32"/>
        </w:rPr>
        <w:t>四是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</w:rPr>
        <w:t>加强部门联合会商</w:t>
      </w:r>
      <w:r>
        <w:rPr>
          <w:rFonts w:ascii="楷体_GB2312" w:eastAsia="楷体_GB2312" w:hAnsi="楷体_GB2312" w:cs="楷体_GB2312" w:hint="eastAsia"/>
          <w:bCs/>
          <w:kern w:val="0"/>
          <w:sz w:val="32"/>
          <w:szCs w:val="32"/>
        </w:rPr>
        <w:t>。</w:t>
      </w:r>
      <w:r>
        <w:rPr>
          <w:rFonts w:ascii="仿宋_GB2312" w:eastAsia="仿宋_GB2312" w:hAnsi="等线" w:hint="eastAsia"/>
          <w:sz w:val="32"/>
          <w:szCs w:val="32"/>
        </w:rPr>
        <w:t>及时通报为学生供餐的托管机构“小饭桌”经营许可、</w:t>
      </w:r>
      <w:r>
        <w:rPr>
          <w:rFonts w:ascii="仿宋_GB2312" w:eastAsia="仿宋_GB2312" w:hAnsi="等线" w:hint="eastAsia"/>
          <w:sz w:val="32"/>
          <w:szCs w:val="32"/>
        </w:rPr>
        <w:lastRenderedPageBreak/>
        <w:t>食品安全风险、行政处罚等情况。配合教育部门加强宣传，积极引导家长和学生选择取得食品经营许可证的正规托管机构“小饭桌”进行就餐。</w:t>
      </w:r>
    </w:p>
    <w:p w:rsidR="00B00E96" w:rsidRDefault="00B63F01" w:rsidP="004128CA">
      <w:pPr>
        <w:spacing w:line="44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下一步，我们将持续加强属地政府、街道社区、教育、市场监管、公安、消防等部门的沟通协作</w:t>
      </w:r>
      <w:r>
        <w:rPr>
          <w:rFonts w:ascii="仿宋_GB2312" w:eastAsia="仿宋_GB2312" w:hAnsi="仿宋_GB2312" w:cs="仿宋_GB2312" w:hint="eastAsia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在各自职责范围内依法履行对校外托管机构监管工作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的同时，</w:t>
      </w:r>
      <w:r>
        <w:rPr>
          <w:rFonts w:ascii="仿宋_GB2312" w:eastAsia="仿宋_GB2312" w:hAnsi="仿宋_GB2312" w:cs="仿宋_GB2312" w:hint="eastAsia"/>
          <w:sz w:val="32"/>
          <w:szCs w:val="32"/>
        </w:rPr>
        <w:t>通过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开展综合执法、联合执法、协作执法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形成齐抓共管共治良好局面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强化举办者安全管理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主体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责任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督促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建立健全内部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各项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安全管理制度和应急处置机制，履行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好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托管机构安全第一责任人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sz w:val="32"/>
          <w:szCs w:val="32"/>
        </w:rPr>
        <w:t>保证学生“小饭桌”符合国家有关建筑、安全防范、消防、传染病防治、环保、食品经营等方面规定和设置标准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探索建立校外托管机构“黑白名单”制度，督促引导校外托管机构合法经营，指导学生监护人选择合法合规的校外托管机构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，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畅通社会公众投诉举报渠道，</w:t>
      </w:r>
      <w:r>
        <w:rPr>
          <w:rFonts w:ascii="仿宋_GB2312" w:eastAsia="仿宋_GB2312" w:hAnsi="仿宋_GB2312" w:cs="仿宋_GB2312" w:hint="eastAsia"/>
          <w:sz w:val="32"/>
          <w:szCs w:val="32"/>
        </w:rPr>
        <w:t>持续加大对全市中小学校周边环境及“小饭桌”的安全隐患检查整治力度，确保全市中小学生安全。</w:t>
      </w:r>
    </w:p>
    <w:p w:rsidR="00B00E96" w:rsidRDefault="00B63F01" w:rsidP="004128CA">
      <w:pPr>
        <w:spacing w:line="440" w:lineRule="exact"/>
        <w:ind w:firstLineChars="200" w:firstLine="640"/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非常感谢您对学校周边“小饭桌”管理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>工作的关心、支持和理解，同时真诚地希望您继续对我们的工作多提宝贵的意见和建议。</w:t>
      </w:r>
    </w:p>
    <w:p w:rsidR="00B00E96" w:rsidRDefault="00B00E96" w:rsidP="004128CA">
      <w:pPr>
        <w:spacing w:line="4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B00E96" w:rsidRDefault="00B63F01" w:rsidP="004128CA">
      <w:pPr>
        <w:spacing w:line="4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连云港市市场监督管理局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</w:p>
    <w:p w:rsidR="00B00E96" w:rsidRDefault="00B63F01" w:rsidP="004128CA">
      <w:pPr>
        <w:spacing w:line="440" w:lineRule="exact"/>
        <w:ind w:right="480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Times New Roman" w:eastAsia="仿宋_GB2312" w:hAnsi="Times New Roman" w:cs="仿宋_GB2312" w:hint="eastAsia"/>
          <w:sz w:val="32"/>
          <w:szCs w:val="32"/>
        </w:rPr>
        <w:t>2025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Times New Roman" w:eastAsia="仿宋_GB2312" w:hAnsi="Times New Roman" w:cs="仿宋_GB2312" w:hint="eastAsia"/>
          <w:sz w:val="32"/>
          <w:szCs w:val="32"/>
        </w:rPr>
        <w:t>7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Times New Roman" w:eastAsia="仿宋_GB2312" w:hAnsi="Times New Roman" w:cs="仿宋_GB2312" w:hint="eastAsia"/>
          <w:sz w:val="32"/>
          <w:szCs w:val="32"/>
        </w:rPr>
        <w:t>14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B00E96" w:rsidRDefault="00B00E96" w:rsidP="004128CA">
      <w:pPr>
        <w:spacing w:line="44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</w:p>
    <w:p w:rsidR="00B00E96" w:rsidRDefault="00B63F01" w:rsidP="004128CA">
      <w:pPr>
        <w:spacing w:line="440" w:lineRule="exact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系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人：</w:t>
      </w:r>
      <w:r>
        <w:rPr>
          <w:rFonts w:ascii="仿宋_GB2312" w:eastAsia="仿宋_GB2312" w:hAnsi="仿宋_GB2312" w:cs="仿宋_GB2312" w:hint="eastAsia"/>
          <w:sz w:val="32"/>
          <w:szCs w:val="32"/>
        </w:rPr>
        <w:t>花广文</w:t>
      </w:r>
    </w:p>
    <w:p w:rsidR="00B00E96" w:rsidRDefault="00B63F01" w:rsidP="004128CA">
      <w:pPr>
        <w:spacing w:line="440" w:lineRule="exac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联系电话：</w:t>
      </w:r>
      <w:r>
        <w:rPr>
          <w:rFonts w:ascii="Times New Roman" w:eastAsia="仿宋_GB2312" w:hAnsi="Times New Roman" w:cs="Times New Roman"/>
          <w:sz w:val="32"/>
          <w:szCs w:val="32"/>
        </w:rPr>
        <w:t>0518-85830236</w:t>
      </w:r>
    </w:p>
    <w:sectPr w:rsidR="00B00E96" w:rsidSect="00B00E96">
      <w:footerReference w:type="default" r:id="rId7"/>
      <w:pgSz w:w="11906" w:h="16838"/>
      <w:pgMar w:top="1985" w:right="1474" w:bottom="1871" w:left="158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3F01" w:rsidRDefault="00B63F01" w:rsidP="00B00E96">
      <w:r>
        <w:separator/>
      </w:r>
    </w:p>
  </w:endnote>
  <w:endnote w:type="continuationSeparator" w:id="1">
    <w:p w:rsidR="00B63F01" w:rsidRDefault="00B63F01" w:rsidP="00B00E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  <w:embedRegular r:id="rId1" w:subsetted="1" w:fontKey="{47E63448-08D9-4E8A-92B4-3C62CC75B77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79995EA3-2EDC-4EED-848A-5DE975D50EF2}"/>
    <w:embedBold r:id="rId3" w:subsetted="1" w:fontKey="{01F6DEEB-694F-4584-A081-3D4DD0866DF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061EE3CC-3D36-43B8-9ABB-BA8E907F2A78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28F2E86F-C1CC-4E0E-A1AC-ADBE34204852}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6" w:subsetted="1" w:fontKey="{EB34B723-405B-4DDB-AE34-49F0D4F94470}"/>
    <w:embedBold r:id="rId7" w:subsetted="1" w:fontKey="{872C62A6-768C-4D6B-8862-B4CE2AAEBD6F}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8" w:subsetted="1" w:fontKey="{E7960E16-8967-46C8-8213-9E6F6B4E129E}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0E96" w:rsidRDefault="00B00E96">
    <w:pPr>
      <w:pStyle w:val="a7"/>
      <w:jc w:val="center"/>
      <w:rPr>
        <w:sz w:val="28"/>
        <w:szCs w:val="28"/>
      </w:rPr>
    </w:pPr>
    <w:r w:rsidRPr="00B00E96"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 filled="f" stroked="f" strokeweight=".5pt">
          <v:textbox style="mso-fit-shape-to-text:t" inset="0,0,0,0">
            <w:txbxContent>
              <w:p w:rsidR="00B00E96" w:rsidRDefault="00B63F01">
                <w:pPr>
                  <w:pStyle w:val="a7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— </w:t>
                </w:r>
                <w:r w:rsidR="00B00E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 w:rsidR="00B00E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4128CA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5</w:t>
                </w:r>
                <w:r w:rsidR="00B00E96"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t xml:space="preserve"> —</w:t>
                </w:r>
              </w:p>
            </w:txbxContent>
          </v:textbox>
          <w10:wrap anchorx="margin"/>
        </v:shape>
      </w:pict>
    </w:r>
    <w:sdt>
      <w:sdtPr>
        <w:rPr>
          <w:sz w:val="28"/>
          <w:szCs w:val="28"/>
        </w:rPr>
        <w:id w:val="1775518375"/>
      </w:sdtPr>
      <w:sdtContent/>
    </w:sdt>
  </w:p>
  <w:p w:rsidR="00B00E96" w:rsidRDefault="00B00E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3F01" w:rsidRDefault="00B63F01" w:rsidP="00B00E96">
      <w:r>
        <w:separator/>
      </w:r>
    </w:p>
  </w:footnote>
  <w:footnote w:type="continuationSeparator" w:id="1">
    <w:p w:rsidR="00B63F01" w:rsidRDefault="00B63F01" w:rsidP="00B00E9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TrueTypeFonts/>
  <w:saveSubsetFonts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098" fillcolor="white">
      <v:fill color="white"/>
    </o:shapedefaults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DIyMjMyYTk3ZWJmMWZjYzVjMGM0NjJhMzAzMzBhYTkifQ=="/>
  </w:docVars>
  <w:rsids>
    <w:rsidRoot w:val="00827411"/>
    <w:rsid w:val="00002AB6"/>
    <w:rsid w:val="000229DE"/>
    <w:rsid w:val="00034DE6"/>
    <w:rsid w:val="00037FB2"/>
    <w:rsid w:val="00072C75"/>
    <w:rsid w:val="000747B0"/>
    <w:rsid w:val="00083C5E"/>
    <w:rsid w:val="000D2083"/>
    <w:rsid w:val="000F143D"/>
    <w:rsid w:val="00155835"/>
    <w:rsid w:val="001761B3"/>
    <w:rsid w:val="001A184C"/>
    <w:rsid w:val="001A1ED6"/>
    <w:rsid w:val="002345FF"/>
    <w:rsid w:val="00242719"/>
    <w:rsid w:val="00265F12"/>
    <w:rsid w:val="0028758D"/>
    <w:rsid w:val="002D10E6"/>
    <w:rsid w:val="0030451F"/>
    <w:rsid w:val="003206C3"/>
    <w:rsid w:val="00347B26"/>
    <w:rsid w:val="00392D5F"/>
    <w:rsid w:val="003A2130"/>
    <w:rsid w:val="004128CA"/>
    <w:rsid w:val="00446C85"/>
    <w:rsid w:val="00487E7D"/>
    <w:rsid w:val="004B5A85"/>
    <w:rsid w:val="004B5D73"/>
    <w:rsid w:val="00504CF3"/>
    <w:rsid w:val="00596936"/>
    <w:rsid w:val="005A612F"/>
    <w:rsid w:val="005F3C6B"/>
    <w:rsid w:val="00610EBD"/>
    <w:rsid w:val="00625DE8"/>
    <w:rsid w:val="006449D7"/>
    <w:rsid w:val="006548CC"/>
    <w:rsid w:val="0066259A"/>
    <w:rsid w:val="006B41FC"/>
    <w:rsid w:val="006C107C"/>
    <w:rsid w:val="006D4DBD"/>
    <w:rsid w:val="0073044F"/>
    <w:rsid w:val="00760C5C"/>
    <w:rsid w:val="007846DA"/>
    <w:rsid w:val="00827411"/>
    <w:rsid w:val="00827415"/>
    <w:rsid w:val="0085342F"/>
    <w:rsid w:val="00877016"/>
    <w:rsid w:val="00881D51"/>
    <w:rsid w:val="008878D6"/>
    <w:rsid w:val="008C115E"/>
    <w:rsid w:val="009162EB"/>
    <w:rsid w:val="00931FF4"/>
    <w:rsid w:val="00950958"/>
    <w:rsid w:val="0097073D"/>
    <w:rsid w:val="009C0ED9"/>
    <w:rsid w:val="009C595B"/>
    <w:rsid w:val="009D16B9"/>
    <w:rsid w:val="009D254A"/>
    <w:rsid w:val="009D6FD2"/>
    <w:rsid w:val="009E797B"/>
    <w:rsid w:val="00A16E2C"/>
    <w:rsid w:val="00A32DD8"/>
    <w:rsid w:val="00A43A3C"/>
    <w:rsid w:val="00A44116"/>
    <w:rsid w:val="00B00E96"/>
    <w:rsid w:val="00B21762"/>
    <w:rsid w:val="00B5605D"/>
    <w:rsid w:val="00B63F01"/>
    <w:rsid w:val="00B66120"/>
    <w:rsid w:val="00BA70AA"/>
    <w:rsid w:val="00BF1948"/>
    <w:rsid w:val="00BF666A"/>
    <w:rsid w:val="00C0725B"/>
    <w:rsid w:val="00C10E2F"/>
    <w:rsid w:val="00C12D53"/>
    <w:rsid w:val="00C138C4"/>
    <w:rsid w:val="00C13C99"/>
    <w:rsid w:val="00C4020B"/>
    <w:rsid w:val="00C74971"/>
    <w:rsid w:val="00CF4EC6"/>
    <w:rsid w:val="00CF6A0C"/>
    <w:rsid w:val="00D534FA"/>
    <w:rsid w:val="00D77A45"/>
    <w:rsid w:val="00D80DE5"/>
    <w:rsid w:val="00DA6CD6"/>
    <w:rsid w:val="00DD43D7"/>
    <w:rsid w:val="00DF38CF"/>
    <w:rsid w:val="00E17700"/>
    <w:rsid w:val="00E95986"/>
    <w:rsid w:val="00EB0451"/>
    <w:rsid w:val="00EB37AF"/>
    <w:rsid w:val="00EC0A8B"/>
    <w:rsid w:val="00EC4635"/>
    <w:rsid w:val="00ED2975"/>
    <w:rsid w:val="00F0361B"/>
    <w:rsid w:val="00F3048F"/>
    <w:rsid w:val="00F62A28"/>
    <w:rsid w:val="00F821FB"/>
    <w:rsid w:val="00F93B9A"/>
    <w:rsid w:val="00FC225C"/>
    <w:rsid w:val="00FE22DB"/>
    <w:rsid w:val="0D812B69"/>
    <w:rsid w:val="113B1490"/>
    <w:rsid w:val="16347E4F"/>
    <w:rsid w:val="1DEE0CA9"/>
    <w:rsid w:val="209B3D66"/>
    <w:rsid w:val="2214688B"/>
    <w:rsid w:val="25D433CD"/>
    <w:rsid w:val="2A520B9A"/>
    <w:rsid w:val="2A9245AE"/>
    <w:rsid w:val="2B625CCE"/>
    <w:rsid w:val="2BDC5041"/>
    <w:rsid w:val="2CA52D4B"/>
    <w:rsid w:val="2DBF432F"/>
    <w:rsid w:val="2DD7148A"/>
    <w:rsid w:val="2EAC37A0"/>
    <w:rsid w:val="3110750F"/>
    <w:rsid w:val="37280CE0"/>
    <w:rsid w:val="3A127BD2"/>
    <w:rsid w:val="3D2832C7"/>
    <w:rsid w:val="3E462E6E"/>
    <w:rsid w:val="3ED44393"/>
    <w:rsid w:val="3FEF0672"/>
    <w:rsid w:val="45F45F7D"/>
    <w:rsid w:val="45FC3C92"/>
    <w:rsid w:val="495B3476"/>
    <w:rsid w:val="4B642CC3"/>
    <w:rsid w:val="52977163"/>
    <w:rsid w:val="578F7356"/>
    <w:rsid w:val="59FB381C"/>
    <w:rsid w:val="5AC27BC1"/>
    <w:rsid w:val="5D5766B6"/>
    <w:rsid w:val="5FC01197"/>
    <w:rsid w:val="64B82DC0"/>
    <w:rsid w:val="65C86549"/>
    <w:rsid w:val="6722119D"/>
    <w:rsid w:val="6B0B6A4F"/>
    <w:rsid w:val="6E01311F"/>
    <w:rsid w:val="6F276355"/>
    <w:rsid w:val="7319454A"/>
    <w:rsid w:val="76FA7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,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annotation reference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Date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annotation subject" w:qFormat="1"/>
    <w:lsdException w:name="Balloon Text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B00E96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qFormat/>
    <w:rsid w:val="00B00E96"/>
    <w:pPr>
      <w:jc w:val="left"/>
    </w:pPr>
  </w:style>
  <w:style w:type="paragraph" w:styleId="a4">
    <w:name w:val="Body Text"/>
    <w:basedOn w:val="a"/>
    <w:next w:val="a"/>
    <w:qFormat/>
    <w:rsid w:val="00B00E96"/>
    <w:pPr>
      <w:spacing w:after="120"/>
    </w:pPr>
  </w:style>
  <w:style w:type="paragraph" w:styleId="a5">
    <w:name w:val="Date"/>
    <w:basedOn w:val="a"/>
    <w:next w:val="a"/>
    <w:link w:val="Char0"/>
    <w:uiPriority w:val="99"/>
    <w:semiHidden/>
    <w:unhideWhenUsed/>
    <w:qFormat/>
    <w:rsid w:val="00B00E96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unhideWhenUsed/>
    <w:qFormat/>
    <w:rsid w:val="00B00E96"/>
    <w:rPr>
      <w:sz w:val="18"/>
      <w:szCs w:val="18"/>
    </w:rPr>
  </w:style>
  <w:style w:type="paragraph" w:styleId="a7">
    <w:name w:val="footer"/>
    <w:basedOn w:val="a"/>
    <w:link w:val="Char2"/>
    <w:autoRedefine/>
    <w:uiPriority w:val="99"/>
    <w:unhideWhenUsed/>
    <w:qFormat/>
    <w:rsid w:val="00B00E9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autoRedefine/>
    <w:uiPriority w:val="99"/>
    <w:unhideWhenUsed/>
    <w:qFormat/>
    <w:rsid w:val="00B00E9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qFormat/>
    <w:rsid w:val="00B00E9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a">
    <w:name w:val="Title"/>
    <w:basedOn w:val="a"/>
    <w:next w:val="BodyTextIndent1"/>
    <w:qFormat/>
    <w:rsid w:val="00B00E96"/>
    <w:pPr>
      <w:spacing w:before="240" w:after="60"/>
      <w:jc w:val="center"/>
      <w:outlineLvl w:val="0"/>
    </w:pPr>
    <w:rPr>
      <w:rFonts w:ascii="Arial" w:eastAsia="仿宋" w:hAnsi="Arial" w:cs="Times New Roman"/>
      <w:b/>
      <w:sz w:val="32"/>
      <w:szCs w:val="32"/>
    </w:rPr>
  </w:style>
  <w:style w:type="paragraph" w:customStyle="1" w:styleId="BodyTextIndent1">
    <w:name w:val="Body Text Indent1"/>
    <w:basedOn w:val="a"/>
    <w:uiPriority w:val="99"/>
    <w:qFormat/>
    <w:rsid w:val="00B00E96"/>
    <w:pPr>
      <w:spacing w:after="120"/>
      <w:ind w:leftChars="200" w:left="420"/>
    </w:pPr>
  </w:style>
  <w:style w:type="paragraph" w:styleId="ab">
    <w:name w:val="annotation subject"/>
    <w:basedOn w:val="a3"/>
    <w:next w:val="a3"/>
    <w:link w:val="Char4"/>
    <w:uiPriority w:val="99"/>
    <w:semiHidden/>
    <w:unhideWhenUsed/>
    <w:qFormat/>
    <w:rsid w:val="00B00E96"/>
    <w:rPr>
      <w:b/>
      <w:bCs/>
    </w:rPr>
  </w:style>
  <w:style w:type="table" w:styleId="ac">
    <w:name w:val="Table Grid"/>
    <w:basedOn w:val="a1"/>
    <w:autoRedefine/>
    <w:uiPriority w:val="39"/>
    <w:qFormat/>
    <w:rsid w:val="00B00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page number"/>
    <w:qFormat/>
    <w:rsid w:val="00B00E96"/>
  </w:style>
  <w:style w:type="character" w:styleId="ae">
    <w:name w:val="Hyperlink"/>
    <w:basedOn w:val="a0"/>
    <w:uiPriority w:val="99"/>
    <w:semiHidden/>
    <w:unhideWhenUsed/>
    <w:qFormat/>
    <w:rsid w:val="00B00E96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B00E96"/>
    <w:rPr>
      <w:sz w:val="21"/>
      <w:szCs w:val="21"/>
    </w:rPr>
  </w:style>
  <w:style w:type="paragraph" w:styleId="af0">
    <w:name w:val="List Paragraph"/>
    <w:basedOn w:val="a"/>
    <w:autoRedefine/>
    <w:uiPriority w:val="34"/>
    <w:qFormat/>
    <w:rsid w:val="00B00E96"/>
    <w:pPr>
      <w:ind w:firstLineChars="200" w:firstLine="420"/>
    </w:pPr>
  </w:style>
  <w:style w:type="character" w:customStyle="1" w:styleId="Char3">
    <w:name w:val="页眉 Char"/>
    <w:basedOn w:val="a0"/>
    <w:link w:val="a8"/>
    <w:autoRedefine/>
    <w:uiPriority w:val="99"/>
    <w:qFormat/>
    <w:rsid w:val="00B00E96"/>
    <w:rPr>
      <w:sz w:val="18"/>
      <w:szCs w:val="18"/>
    </w:rPr>
  </w:style>
  <w:style w:type="character" w:customStyle="1" w:styleId="Char2">
    <w:name w:val="页脚 Char"/>
    <w:basedOn w:val="a0"/>
    <w:link w:val="a7"/>
    <w:autoRedefine/>
    <w:uiPriority w:val="99"/>
    <w:qFormat/>
    <w:rsid w:val="00B00E96"/>
    <w:rPr>
      <w:sz w:val="18"/>
      <w:szCs w:val="18"/>
    </w:rPr>
  </w:style>
  <w:style w:type="character" w:customStyle="1" w:styleId="Char">
    <w:name w:val="批注文字 Char"/>
    <w:basedOn w:val="a0"/>
    <w:link w:val="a3"/>
    <w:uiPriority w:val="99"/>
    <w:semiHidden/>
    <w:qFormat/>
    <w:rsid w:val="00B00E96"/>
  </w:style>
  <w:style w:type="character" w:customStyle="1" w:styleId="Char4">
    <w:name w:val="批注主题 Char"/>
    <w:basedOn w:val="Char"/>
    <w:link w:val="ab"/>
    <w:uiPriority w:val="99"/>
    <w:semiHidden/>
    <w:qFormat/>
    <w:rsid w:val="00B00E96"/>
    <w:rPr>
      <w:b/>
      <w:bCs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B00E96"/>
    <w:rPr>
      <w:sz w:val="18"/>
      <w:szCs w:val="18"/>
    </w:rPr>
  </w:style>
  <w:style w:type="character" w:customStyle="1" w:styleId="Char0">
    <w:name w:val="日期 Char"/>
    <w:basedOn w:val="a0"/>
    <w:link w:val="a5"/>
    <w:uiPriority w:val="99"/>
    <w:semiHidden/>
    <w:qFormat/>
    <w:rsid w:val="00B00E96"/>
  </w:style>
  <w:style w:type="character" w:customStyle="1" w:styleId="font11">
    <w:name w:val="font11"/>
    <w:basedOn w:val="a0"/>
    <w:qFormat/>
    <w:rsid w:val="00B00E96"/>
    <w:rPr>
      <w:rFonts w:ascii="宋体" w:eastAsia="宋体" w:hAnsi="宋体" w:cs="宋体" w:hint="eastAsia"/>
      <w:color w:val="FF0000"/>
      <w:sz w:val="22"/>
      <w:szCs w:val="22"/>
      <w:u w:val="none"/>
    </w:rPr>
  </w:style>
  <w:style w:type="paragraph" w:customStyle="1" w:styleId="1">
    <w:name w:val="正文1"/>
    <w:qFormat/>
    <w:rsid w:val="00B00E96"/>
    <w:pPr>
      <w:jc w:val="both"/>
    </w:pPr>
    <w:rPr>
      <w:kern w:val="2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536</Words>
  <Characters>3060</Characters>
  <Application>Microsoft Office Word</Application>
  <DocSecurity>0</DocSecurity>
  <Lines>25</Lines>
  <Paragraphs>7</Paragraphs>
  <ScaleCrop>false</ScaleCrop>
  <Company>Microsoft</Company>
  <LinksUpToDate>false</LinksUpToDate>
  <CharactersWithSpaces>3589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924415957@qq.com</dc:creator>
  <cp:lastModifiedBy>PC</cp:lastModifiedBy>
  <cp:revision>39</cp:revision>
  <cp:lastPrinted>2021-05-11T03:04:00Z</cp:lastPrinted>
  <dcterms:created xsi:type="dcterms:W3CDTF">2020-04-22T00:55:00Z</dcterms:created>
  <dcterms:modified xsi:type="dcterms:W3CDTF">2026-08-19T08:52:00Z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8B529614F8A04BCB8CB1429FEB99B6FA_13</vt:lpwstr>
  </property>
  <property fmtid="{D5CDD505-2E9C-101B-9397-08002B2CF9AE}" pid="4" name="KSOTemplateDocerSaveRecord">
    <vt:lpwstr>eyJoZGlkIjoiNDIyMjMyYTk3ZWJmMWZjYzVjMGM0NjJhMzAzMzBhYTkiLCJ1c2VySWQiOiI0NDg2OTc1MDIifQ==</vt:lpwstr>
  </property>
</Properties>
</file>