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3A933">
      <w:pPr>
        <w:rPr>
          <w:color w:val="000000"/>
          <w:szCs w:val="32"/>
        </w:rPr>
      </w:pPr>
    </w:p>
    <w:p w14:paraId="679FDF2D">
      <w:pPr>
        <w:rPr>
          <w:color w:val="000000"/>
          <w:szCs w:val="32"/>
        </w:rPr>
      </w:pPr>
    </w:p>
    <w:p w14:paraId="01A199F0">
      <w:pPr>
        <w:rPr>
          <w:color w:val="000000"/>
          <w:szCs w:val="32"/>
        </w:rPr>
      </w:pPr>
    </w:p>
    <w:p w14:paraId="1AF11F3D">
      <w:pPr>
        <w:spacing w:line="500" w:lineRule="exact"/>
        <w:rPr>
          <w:color w:val="000000"/>
          <w:szCs w:val="32"/>
        </w:rPr>
      </w:pPr>
    </w:p>
    <w:p w14:paraId="4DB453DE">
      <w:pPr>
        <w:spacing w:line="500" w:lineRule="exact"/>
        <w:rPr>
          <w:color w:val="000000"/>
          <w:szCs w:val="32"/>
        </w:rPr>
      </w:pPr>
    </w:p>
    <w:p w14:paraId="670DCF20">
      <w:pPr>
        <w:spacing w:line="500" w:lineRule="exact"/>
        <w:rPr>
          <w:color w:val="000000"/>
          <w:szCs w:val="32"/>
        </w:rPr>
      </w:pPr>
    </w:p>
    <w:p w14:paraId="294DB014">
      <w:pPr>
        <w:spacing w:line="500" w:lineRule="exact"/>
        <w:rPr>
          <w:color w:val="000000"/>
          <w:szCs w:val="32"/>
        </w:rPr>
      </w:pPr>
    </w:p>
    <w:p w14:paraId="2993227E">
      <w:pPr>
        <w:spacing w:line="500" w:lineRule="exact"/>
        <w:ind w:firstLine="0"/>
        <w:jc w:val="center"/>
      </w:pPr>
      <w:r>
        <w:t>连政办发〔202</w:t>
      </w:r>
      <w:r>
        <w:rPr>
          <w:rFonts w:hint="eastAsia"/>
        </w:rPr>
        <w:t>4</w:t>
      </w:r>
      <w:r>
        <w:t>〕</w:t>
      </w:r>
      <w:r>
        <w:rPr>
          <w:rFonts w:hint="eastAsia"/>
        </w:rPr>
        <w:t>28</w:t>
      </w:r>
      <w:r>
        <w:t>号</w:t>
      </w:r>
    </w:p>
    <w:p w14:paraId="78D461BF">
      <w:pPr>
        <w:ind w:firstLine="0"/>
      </w:pPr>
    </w:p>
    <w:p w14:paraId="6A7E3D3B">
      <w:pPr>
        <w:widowControl/>
        <w:snapToGrid w:val="0"/>
        <w:ind w:left="1579" w:hanging="1580" w:hangingChars="500"/>
        <w:rPr>
          <w:rFonts w:eastAsia="黑体"/>
          <w:color w:val="000000"/>
          <w:kern w:val="0"/>
          <w:szCs w:val="32"/>
        </w:rPr>
      </w:pPr>
    </w:p>
    <w:p w14:paraId="4236F02D">
      <w:pPr>
        <w:ind w:firstLine="0"/>
        <w:jc w:val="center"/>
        <w:rPr>
          <w:rFonts w:ascii="方正小标宋_GBK" w:eastAsia="方正小标宋_GBK"/>
          <w:color w:val="000000"/>
          <w:sz w:val="44"/>
          <w:szCs w:val="44"/>
        </w:rPr>
      </w:pPr>
      <w:r>
        <w:rPr>
          <w:rFonts w:hint="eastAsia" w:ascii="方正小标宋_GBK" w:eastAsia="方正小标宋_GBK"/>
          <w:color w:val="000000"/>
          <w:sz w:val="44"/>
          <w:szCs w:val="44"/>
        </w:rPr>
        <w:t>市政府办公室印发关于加强全市</w:t>
      </w:r>
    </w:p>
    <w:p w14:paraId="4D7B4E00">
      <w:pPr>
        <w:ind w:firstLine="0"/>
        <w:jc w:val="center"/>
        <w:rPr>
          <w:rFonts w:ascii="方正小标宋_GBK" w:eastAsia="方正小标宋_GBK"/>
          <w:color w:val="000000"/>
          <w:sz w:val="44"/>
          <w:szCs w:val="44"/>
        </w:rPr>
      </w:pPr>
      <w:r>
        <w:rPr>
          <w:rFonts w:hint="eastAsia" w:ascii="方正小标宋_GBK" w:eastAsia="方正小标宋_GBK"/>
          <w:color w:val="000000"/>
          <w:sz w:val="44"/>
          <w:szCs w:val="44"/>
        </w:rPr>
        <w:t>农贸市场规范管理实施意见的通知</w:t>
      </w:r>
    </w:p>
    <w:p w14:paraId="2DA104A6">
      <w:pPr>
        <w:ind w:firstLine="0"/>
        <w:rPr>
          <w:color w:val="000000"/>
          <w:szCs w:val="32"/>
        </w:rPr>
      </w:pPr>
    </w:p>
    <w:p w14:paraId="44368DBB">
      <w:pPr>
        <w:ind w:firstLine="0"/>
        <w:rPr>
          <w:color w:val="000000"/>
          <w:szCs w:val="32"/>
        </w:rPr>
      </w:pPr>
      <w:r>
        <w:rPr>
          <w:color w:val="000000"/>
          <w:szCs w:val="32"/>
        </w:rPr>
        <w:t>各县、区人民政府，市各委办局，市各直属单位：</w:t>
      </w:r>
    </w:p>
    <w:p w14:paraId="42562401">
      <w:pPr>
        <w:ind w:firstLine="632" w:firstLineChars="200"/>
        <w:rPr>
          <w:color w:val="000000"/>
          <w:spacing w:val="-6"/>
          <w:szCs w:val="32"/>
        </w:rPr>
      </w:pPr>
      <w:r>
        <w:rPr>
          <w:color w:val="000000"/>
          <w:szCs w:val="32"/>
        </w:rPr>
        <w:t>《</w:t>
      </w:r>
      <w:r>
        <w:rPr>
          <w:rFonts w:hint="eastAsia"/>
          <w:color w:val="000000"/>
          <w:szCs w:val="32"/>
        </w:rPr>
        <w:t>关于加强全市农贸市场规范管理的实施意见</w:t>
      </w:r>
      <w:r>
        <w:rPr>
          <w:color w:val="000000"/>
          <w:szCs w:val="32"/>
        </w:rPr>
        <w:t>》已经市十五</w:t>
      </w:r>
      <w:r>
        <w:rPr>
          <w:color w:val="000000"/>
          <w:spacing w:val="-6"/>
          <w:szCs w:val="32"/>
        </w:rPr>
        <w:t>届政府第</w:t>
      </w:r>
      <w:r>
        <w:rPr>
          <w:rFonts w:hint="eastAsia"/>
          <w:color w:val="000000"/>
          <w:spacing w:val="-6"/>
          <w:szCs w:val="32"/>
        </w:rPr>
        <w:t>47</w:t>
      </w:r>
      <w:r>
        <w:rPr>
          <w:color w:val="000000"/>
          <w:spacing w:val="-6"/>
          <w:szCs w:val="32"/>
        </w:rPr>
        <w:t>次常务会议审议通过，现印发给你们，请认真组织实施。</w:t>
      </w:r>
    </w:p>
    <w:p w14:paraId="652FA896">
      <w:pPr>
        <w:topLinePunct/>
        <w:spacing w:line="540" w:lineRule="exact"/>
        <w:ind w:firstLine="632" w:firstLineChars="200"/>
        <w:rPr>
          <w:szCs w:val="32"/>
        </w:rPr>
      </w:pPr>
    </w:p>
    <w:p w14:paraId="53793863">
      <w:pPr>
        <w:spacing w:line="540" w:lineRule="exact"/>
        <w:ind w:firstLine="640"/>
        <w:rPr>
          <w:color w:val="000000"/>
          <w:kern w:val="0"/>
          <w:szCs w:val="32"/>
        </w:rPr>
      </w:pPr>
      <w:r>
        <w:rPr>
          <w:color w:val="000000"/>
          <w:kern w:val="0"/>
          <w:szCs w:val="32"/>
        </w:rPr>
        <w:t> </w:t>
      </w:r>
    </w:p>
    <w:p w14:paraId="1E9789E3">
      <w:pPr>
        <w:shd w:val="clear" w:color="auto" w:fill="FFFFFF"/>
        <w:ind w:firstLine="4415" w:firstLineChars="1397"/>
        <w:rPr>
          <w:color w:val="000000"/>
          <w:kern w:val="0"/>
          <w:sz w:val="30"/>
          <w:szCs w:val="30"/>
        </w:rPr>
      </w:pPr>
      <w:r>
        <w:rPr>
          <w:color w:val="000000"/>
          <w:kern w:val="0"/>
          <w:szCs w:val="32"/>
        </w:rPr>
        <w:t>连云港市人民政府办公室</w:t>
      </w:r>
    </w:p>
    <w:p w14:paraId="55906D06">
      <w:pPr>
        <w:shd w:val="clear" w:color="auto" w:fill="FFFFFF"/>
        <w:ind w:firstLine="4958" w:firstLineChars="1569"/>
        <w:rPr>
          <w:color w:val="000000"/>
          <w:kern w:val="0"/>
          <w:szCs w:val="32"/>
        </w:rPr>
      </w:pPr>
      <w:r>
        <w:rPr>
          <w:color w:val="000000"/>
          <w:kern w:val="0"/>
          <w:szCs w:val="32"/>
        </w:rPr>
        <w:t>202</w:t>
      </w:r>
      <w:r>
        <w:rPr>
          <w:rFonts w:hint="eastAsia"/>
          <w:color w:val="000000"/>
          <w:kern w:val="0"/>
          <w:szCs w:val="32"/>
        </w:rPr>
        <w:t>4</w:t>
      </w:r>
      <w:r>
        <w:rPr>
          <w:color w:val="000000"/>
          <w:kern w:val="0"/>
          <w:szCs w:val="32"/>
        </w:rPr>
        <w:t>年</w:t>
      </w:r>
      <w:r>
        <w:rPr>
          <w:rFonts w:hint="eastAsia"/>
          <w:color w:val="000000"/>
          <w:kern w:val="0"/>
          <w:szCs w:val="32"/>
        </w:rPr>
        <w:t>6</w:t>
      </w:r>
      <w:r>
        <w:rPr>
          <w:color w:val="000000"/>
          <w:kern w:val="0"/>
          <w:szCs w:val="32"/>
        </w:rPr>
        <w:t>月</w:t>
      </w:r>
      <w:r>
        <w:rPr>
          <w:rFonts w:hint="eastAsia"/>
          <w:color w:val="000000"/>
          <w:kern w:val="0"/>
          <w:szCs w:val="32"/>
        </w:rPr>
        <w:t>6</w:t>
      </w:r>
      <w:r>
        <w:rPr>
          <w:color w:val="000000"/>
          <w:kern w:val="0"/>
          <w:szCs w:val="32"/>
        </w:rPr>
        <w:t>日</w:t>
      </w:r>
    </w:p>
    <w:p w14:paraId="37EC00CC">
      <w:pPr>
        <w:widowControl/>
        <w:outlineLvl w:val="0"/>
        <w:rPr>
          <w:color w:val="000000"/>
          <w:kern w:val="0"/>
          <w:szCs w:val="32"/>
        </w:rPr>
      </w:pPr>
      <w:r>
        <w:rPr>
          <w:color w:val="000000"/>
          <w:kern w:val="0"/>
          <w:szCs w:val="32"/>
        </w:rPr>
        <w:t>（此件公开发布）</w:t>
      </w:r>
    </w:p>
    <w:p w14:paraId="6BB8ED6E">
      <w:pPr>
        <w:pStyle w:val="37"/>
        <w:widowControl w:val="0"/>
        <w:spacing w:line="200" w:lineRule="exact"/>
        <w:jc w:val="left"/>
        <w:rPr>
          <w:rFonts w:ascii="Times New Roman" w:eastAsia="仿宋_GB2312"/>
          <w:sz w:val="30"/>
        </w:rPr>
      </w:pPr>
    </w:p>
    <w:p w14:paraId="36D25697">
      <w:pPr>
        <w:pStyle w:val="37"/>
        <w:widowControl w:val="0"/>
        <w:spacing w:line="200" w:lineRule="exact"/>
        <w:jc w:val="left"/>
        <w:rPr>
          <w:rFonts w:ascii="Times New Roman" w:eastAsia="仿宋_GB2312"/>
          <w:sz w:val="30"/>
        </w:rPr>
      </w:pPr>
    </w:p>
    <w:p w14:paraId="13DB3B56">
      <w:pPr>
        <w:snapToGrid w:val="0"/>
        <w:ind w:firstLine="0"/>
        <w:jc w:val="center"/>
        <w:rPr>
          <w:rFonts w:ascii="方正小标宋_GBK" w:eastAsia="方正小标宋_GBK"/>
          <w:sz w:val="44"/>
          <w:szCs w:val="44"/>
        </w:rPr>
      </w:pPr>
    </w:p>
    <w:p w14:paraId="2E500008">
      <w:pPr>
        <w:ind w:firstLine="0"/>
        <w:jc w:val="center"/>
        <w:rPr>
          <w:rFonts w:eastAsia="方正小标宋_GBK"/>
          <w:sz w:val="44"/>
          <w:szCs w:val="44"/>
        </w:rPr>
      </w:pPr>
    </w:p>
    <w:p w14:paraId="296DE3D0">
      <w:pPr>
        <w:ind w:firstLine="0"/>
        <w:jc w:val="center"/>
        <w:rPr>
          <w:rFonts w:eastAsia="方正小标宋_GBK"/>
          <w:sz w:val="44"/>
          <w:szCs w:val="44"/>
        </w:rPr>
      </w:pPr>
      <w:r>
        <w:rPr>
          <w:rFonts w:eastAsia="方正小标宋_GBK"/>
          <w:sz w:val="44"/>
          <w:szCs w:val="44"/>
        </w:rPr>
        <w:t>关于加强</w:t>
      </w:r>
      <w:r>
        <w:rPr>
          <w:rFonts w:hint="eastAsia" w:eastAsia="方正小标宋_GBK"/>
          <w:sz w:val="44"/>
          <w:szCs w:val="44"/>
        </w:rPr>
        <w:t>全</w:t>
      </w:r>
      <w:r>
        <w:rPr>
          <w:rFonts w:eastAsia="方正小标宋_GBK"/>
          <w:sz w:val="44"/>
          <w:szCs w:val="44"/>
        </w:rPr>
        <w:t>市农贸市场规范管理的实施意见</w:t>
      </w:r>
    </w:p>
    <w:p w14:paraId="7951C99E">
      <w:pPr>
        <w:autoSpaceDE w:val="0"/>
        <w:autoSpaceDN w:val="0"/>
        <w:snapToGrid w:val="0"/>
        <w:ind w:firstLine="0"/>
        <w:jc w:val="center"/>
        <w:rPr>
          <w:rFonts w:eastAsia="楷体_GB2312"/>
          <w:bCs/>
          <w:szCs w:val="32"/>
        </w:rPr>
      </w:pPr>
    </w:p>
    <w:p w14:paraId="2095C0A7">
      <w:pPr>
        <w:spacing w:line="540" w:lineRule="exact"/>
        <w:ind w:firstLine="632" w:firstLineChars="200"/>
        <w:rPr>
          <w:szCs w:val="32"/>
        </w:rPr>
      </w:pPr>
      <w:r>
        <w:rPr>
          <w:szCs w:val="32"/>
        </w:rPr>
        <w:t>为进一步规范农贸市场管理，维护经营秩序，着力解决制约农贸市场管理的瓶颈和顽症，提升人民群众生活质量，根据国家有关法律法规和《连云港市农贸市场管理条例》等规定，制定本实施意见。</w:t>
      </w:r>
    </w:p>
    <w:p w14:paraId="44843057">
      <w:pPr>
        <w:spacing w:line="540" w:lineRule="exact"/>
        <w:ind w:firstLine="632" w:firstLineChars="200"/>
        <w:rPr>
          <w:rFonts w:eastAsia="黑体"/>
          <w:szCs w:val="32"/>
        </w:rPr>
      </w:pPr>
      <w:r>
        <w:rPr>
          <w:rFonts w:eastAsia="黑体"/>
          <w:szCs w:val="32"/>
        </w:rPr>
        <w:t>一、</w:t>
      </w:r>
      <w:r>
        <w:rPr>
          <w:rFonts w:hint="eastAsia" w:eastAsia="黑体"/>
          <w:szCs w:val="32"/>
        </w:rPr>
        <w:t>工作目标</w:t>
      </w:r>
    </w:p>
    <w:p w14:paraId="12A2F4FD">
      <w:pPr>
        <w:spacing w:line="540" w:lineRule="exact"/>
        <w:ind w:firstLine="632" w:firstLineChars="200"/>
        <w:rPr>
          <w:szCs w:val="32"/>
        </w:rPr>
      </w:pPr>
      <w:r>
        <w:rPr>
          <w:szCs w:val="32"/>
        </w:rPr>
        <w:t>以解决突出问题为导向，着眼常态长效、着力规范提升，通过理顺工作机制、厘清工作职责，落实上下联动、部门协同、社会共治等工作举措，切实破解属地管理责任不到位、行业监管责任不明晰、市场主体责任不落实等难点堵点问题，全力打造规范有序、安全放心、公平交易</w:t>
      </w:r>
      <w:r>
        <w:rPr>
          <w:rFonts w:hint="eastAsia"/>
          <w:szCs w:val="32"/>
        </w:rPr>
        <w:t>、</w:t>
      </w:r>
      <w:r>
        <w:rPr>
          <w:szCs w:val="32"/>
        </w:rPr>
        <w:t>文明诚信的农贸市场。</w:t>
      </w:r>
    </w:p>
    <w:p w14:paraId="3F7F892D">
      <w:pPr>
        <w:spacing w:line="540" w:lineRule="exact"/>
        <w:ind w:firstLine="632" w:firstLineChars="200"/>
        <w:rPr>
          <w:rFonts w:eastAsia="黑体"/>
          <w:szCs w:val="32"/>
        </w:rPr>
      </w:pPr>
      <w:r>
        <w:rPr>
          <w:rFonts w:eastAsia="黑体"/>
          <w:szCs w:val="32"/>
        </w:rPr>
        <w:t>二、基本原则</w:t>
      </w:r>
    </w:p>
    <w:p w14:paraId="61AF0ABF">
      <w:pPr>
        <w:spacing w:line="540" w:lineRule="exact"/>
        <w:ind w:firstLine="632" w:firstLineChars="200"/>
        <w:rPr>
          <w:szCs w:val="32"/>
        </w:rPr>
      </w:pPr>
      <w:r>
        <w:rPr>
          <w:rFonts w:eastAsia="楷体_GB2312"/>
          <w:bCs/>
          <w:szCs w:val="32"/>
        </w:rPr>
        <w:t>（一）属地管理，分级负责。</w:t>
      </w:r>
      <w:r>
        <w:rPr>
          <w:szCs w:val="32"/>
        </w:rPr>
        <w:t>各县（区）人民政府负责组织领导本辖区内农贸市场规范管理工作，统筹协调解决农贸市场规范管理中的各类问题。乡镇人民政府、街道办事处负责督促本辖区内农贸市场主办方落实经营、管理责任，依托网格化社会治理体系推进农贸市场规范管理措施有效落实。</w:t>
      </w:r>
    </w:p>
    <w:p w14:paraId="33BD51E2">
      <w:pPr>
        <w:spacing w:line="540" w:lineRule="exact"/>
        <w:ind w:firstLine="632" w:firstLineChars="200"/>
        <w:rPr>
          <w:szCs w:val="32"/>
        </w:rPr>
      </w:pPr>
      <w:r>
        <w:rPr>
          <w:rFonts w:eastAsia="楷体_GB2312"/>
          <w:bCs/>
          <w:szCs w:val="32"/>
        </w:rPr>
        <w:t>（二）部门协同，联动监管。</w:t>
      </w:r>
      <w:r>
        <w:rPr>
          <w:szCs w:val="32"/>
        </w:rPr>
        <w:t>市场监督管理、商务、卫生健康、城市管理、农业农村、自然资源和规划、住房和城乡建设、应急管理、生态环境、公安、消防等有关部门，按法定职责做好农贸市场规范管理工作，结合各自职能制定具体工作方案并抓好落实，深化协同联动，提升监管质效，实现重点聚焦、力量互助、手段互补、信息共享。</w:t>
      </w:r>
    </w:p>
    <w:p w14:paraId="64D45333">
      <w:pPr>
        <w:spacing w:line="540" w:lineRule="exact"/>
        <w:ind w:firstLine="632" w:firstLineChars="200"/>
        <w:jc w:val="left"/>
        <w:rPr>
          <w:szCs w:val="32"/>
        </w:rPr>
      </w:pPr>
      <w:r>
        <w:rPr>
          <w:rFonts w:eastAsia="楷体_GB2312"/>
          <w:bCs/>
          <w:szCs w:val="32"/>
        </w:rPr>
        <w:t>（三）突出主体，压实责任。</w:t>
      </w:r>
      <w:r>
        <w:rPr>
          <w:szCs w:val="32"/>
        </w:rPr>
        <w:t>农贸市场主办方是市场管理的实施主体，按照“谁主办、谁负责”的原则，建立健全日常管理制度，加强场内经营商户管理，有效落实市场规范管理第一责任人职责。场内经营商户是落实市场规范</w:t>
      </w:r>
      <w:r>
        <w:rPr>
          <w:rFonts w:hint="eastAsia"/>
          <w:szCs w:val="32"/>
        </w:rPr>
        <w:t>经营</w:t>
      </w:r>
      <w:r>
        <w:rPr>
          <w:szCs w:val="32"/>
        </w:rPr>
        <w:t>的直接责任人，自觉遵守农贸市场管理规定，依法诚信经营。</w:t>
      </w:r>
    </w:p>
    <w:p w14:paraId="008A59CE">
      <w:pPr>
        <w:spacing w:line="540" w:lineRule="exact"/>
        <w:ind w:firstLine="632" w:firstLineChars="200"/>
        <w:jc w:val="left"/>
        <w:rPr>
          <w:rFonts w:eastAsia="黑体"/>
          <w:szCs w:val="32"/>
        </w:rPr>
      </w:pPr>
      <w:r>
        <w:rPr>
          <w:rFonts w:eastAsia="黑体"/>
          <w:szCs w:val="32"/>
        </w:rPr>
        <w:t>三、重点任务</w:t>
      </w:r>
    </w:p>
    <w:p w14:paraId="6B6F6933">
      <w:pPr>
        <w:spacing w:line="540" w:lineRule="exact"/>
        <w:ind w:firstLine="632" w:firstLineChars="200"/>
        <w:rPr>
          <w:rFonts w:eastAsia="楷体_GB2312"/>
          <w:szCs w:val="32"/>
        </w:rPr>
      </w:pPr>
      <w:r>
        <w:rPr>
          <w:rFonts w:eastAsia="楷体_GB2312"/>
          <w:szCs w:val="32"/>
        </w:rPr>
        <w:t>（一）着力打造安全放心的消费环境</w:t>
      </w:r>
      <w:r>
        <w:rPr>
          <w:rFonts w:hint="eastAsia" w:eastAsia="楷体_GB2312"/>
          <w:szCs w:val="32"/>
        </w:rPr>
        <w:t>。</w:t>
      </w:r>
    </w:p>
    <w:p w14:paraId="5CA80126">
      <w:pPr>
        <w:spacing w:line="540" w:lineRule="exact"/>
        <w:ind w:firstLine="632" w:firstLineChars="200"/>
        <w:jc w:val="left"/>
        <w:rPr>
          <w:szCs w:val="32"/>
        </w:rPr>
      </w:pPr>
      <w:r>
        <w:rPr>
          <w:bCs/>
          <w:szCs w:val="32"/>
        </w:rPr>
        <w:t>1.</w:t>
      </w:r>
      <w:r>
        <w:rPr>
          <w:rFonts w:hint="eastAsia"/>
          <w:bCs/>
          <w:szCs w:val="32"/>
        </w:rPr>
        <w:t xml:space="preserve"> </w:t>
      </w:r>
      <w:r>
        <w:rPr>
          <w:bCs/>
          <w:szCs w:val="32"/>
        </w:rPr>
        <w:t>加强市场建设管理。</w:t>
      </w:r>
      <w:r>
        <w:rPr>
          <w:szCs w:val="32"/>
        </w:rPr>
        <w:t>新建农贸市场按照标准化要求规划建设，做到布局合理、设施完备、管理规范，鼓励达到商超标准。引导老旧市场进行升级改造，推动软硬件条件、环境卫生、经营秩序等明显改善，实现方便就近、便宜放心。市场主办方应履行好市容和环境卫生、限塑等责任，保持责任区内卫生整洁、整齐有序，垃圾分类设置与投放、收集、运输、处置规范，市场周边无乱搭乱建、乱堆乱放、乱设摊点现象，机动车、非机动车停放区域设置合理、停放有序。</w:t>
      </w:r>
    </w:p>
    <w:p w14:paraId="6882B6FC">
      <w:pPr>
        <w:spacing w:line="540" w:lineRule="exact"/>
        <w:ind w:firstLine="632" w:firstLineChars="200"/>
        <w:jc w:val="left"/>
        <w:rPr>
          <w:spacing w:val="-4"/>
          <w:szCs w:val="32"/>
        </w:rPr>
      </w:pPr>
      <w:r>
        <w:rPr>
          <w:bCs/>
          <w:szCs w:val="32"/>
        </w:rPr>
        <w:t>2.</w:t>
      </w:r>
      <w:r>
        <w:rPr>
          <w:rFonts w:hint="eastAsia"/>
          <w:bCs/>
          <w:szCs w:val="32"/>
        </w:rPr>
        <w:t xml:space="preserve"> </w:t>
      </w:r>
      <w:r>
        <w:rPr>
          <w:bCs/>
          <w:szCs w:val="32"/>
        </w:rPr>
        <w:t>规范市场经营秩序。</w:t>
      </w:r>
      <w:r>
        <w:rPr>
          <w:szCs w:val="32"/>
        </w:rPr>
        <w:t>严厉打击缺斤少两、以次充好、价格欺诈等违法违规行为。市场经营商户亮证亮照经营，不得使用未经检定、检定不合格、超检定周期、具有作弊功能的电子计价秤，禁止过度</w:t>
      </w:r>
      <w:r>
        <w:rPr>
          <w:rFonts w:hint="eastAsia"/>
          <w:szCs w:val="32"/>
        </w:rPr>
        <w:t>包装</w:t>
      </w:r>
      <w:r>
        <w:rPr>
          <w:szCs w:val="32"/>
        </w:rPr>
        <w:t>、使用超重塑料袋等行为。市场主办方应在市场明</w:t>
      </w:r>
      <w:r>
        <w:rPr>
          <w:spacing w:val="-4"/>
          <w:szCs w:val="32"/>
        </w:rPr>
        <w:t>显位置设置公平秤，并在水产、畜禽、水果等重点区域增设公平秤。</w:t>
      </w:r>
    </w:p>
    <w:p w14:paraId="1D83A897">
      <w:pPr>
        <w:spacing w:line="540" w:lineRule="exact"/>
        <w:ind w:firstLine="632" w:firstLineChars="200"/>
        <w:jc w:val="left"/>
        <w:rPr>
          <w:szCs w:val="32"/>
        </w:rPr>
      </w:pPr>
      <w:r>
        <w:rPr>
          <w:bCs/>
          <w:szCs w:val="32"/>
        </w:rPr>
        <w:t>3.</w:t>
      </w:r>
      <w:r>
        <w:rPr>
          <w:rFonts w:hint="eastAsia"/>
          <w:bCs/>
          <w:szCs w:val="32"/>
        </w:rPr>
        <w:t xml:space="preserve"> </w:t>
      </w:r>
      <w:r>
        <w:rPr>
          <w:bCs/>
          <w:szCs w:val="32"/>
        </w:rPr>
        <w:t>落实市场安全管控。</w:t>
      </w:r>
      <w:r>
        <w:rPr>
          <w:szCs w:val="32"/>
        </w:rPr>
        <w:t>对农贸市场食品安全开展风险监测，严查食品安全违法行为。加强对市场房屋建筑安全、消防安全检查，开展应急管理、防灾减灾宣传教育。强化农贸市场内部治安防范工作，依法处理违法犯罪行为。农贸市场主办方须严格执行各项食品安全管理制度，落实病媒生物预防控制、动物防疫要求，防范化解食品安全风险。</w:t>
      </w:r>
    </w:p>
    <w:p w14:paraId="624C5DAF">
      <w:pPr>
        <w:spacing w:line="540" w:lineRule="exact"/>
        <w:ind w:firstLine="632" w:firstLineChars="200"/>
        <w:rPr>
          <w:rFonts w:eastAsia="楷体_GB2312"/>
          <w:szCs w:val="32"/>
        </w:rPr>
      </w:pPr>
      <w:r>
        <w:rPr>
          <w:rFonts w:eastAsia="楷体_GB2312"/>
          <w:szCs w:val="32"/>
        </w:rPr>
        <w:t>（二）全力构建规范</w:t>
      </w:r>
      <w:r>
        <w:rPr>
          <w:rFonts w:hint="eastAsia" w:eastAsia="楷体_GB2312"/>
          <w:szCs w:val="32"/>
        </w:rPr>
        <w:t>有序</w:t>
      </w:r>
      <w:r>
        <w:rPr>
          <w:rFonts w:eastAsia="楷体_GB2312"/>
          <w:szCs w:val="32"/>
        </w:rPr>
        <w:t>的法治环境</w:t>
      </w:r>
      <w:r>
        <w:rPr>
          <w:rFonts w:hint="eastAsia" w:eastAsia="楷体_GB2312"/>
          <w:szCs w:val="32"/>
        </w:rPr>
        <w:t>。</w:t>
      </w:r>
    </w:p>
    <w:p w14:paraId="54D48877">
      <w:pPr>
        <w:spacing w:line="540" w:lineRule="exact"/>
        <w:ind w:firstLine="632" w:firstLineChars="200"/>
        <w:rPr>
          <w:szCs w:val="32"/>
        </w:rPr>
      </w:pPr>
      <w:r>
        <w:rPr>
          <w:bCs/>
          <w:szCs w:val="32"/>
        </w:rPr>
        <w:t>4.</w:t>
      </w:r>
      <w:r>
        <w:rPr>
          <w:rFonts w:hint="eastAsia"/>
          <w:bCs/>
          <w:szCs w:val="32"/>
        </w:rPr>
        <w:t xml:space="preserve"> </w:t>
      </w:r>
      <w:r>
        <w:rPr>
          <w:bCs/>
          <w:szCs w:val="32"/>
        </w:rPr>
        <w:t>完善投诉快处机制。</w:t>
      </w:r>
      <w:r>
        <w:rPr>
          <w:szCs w:val="32"/>
        </w:rPr>
        <w:t>各县（区）人民政府建立农贸市场违法经营行为有奖举报制度，调动社会力量监督违法行为。指导农贸市场设立消费维权服务站，确保第一时间处置消费纠纷。公安机关、市场监督管理部门、镇街在每家农贸市场各配备1名网格员，统一公开姓名、照片、手机号、工作职责等基本信息，接受群众投诉举报，建立信息互通机制。在农贸市场显著位置公布12345、12315热线电话，畅通投诉举报渠道。赋予市级有关部门12345投诉举报工单查询功能，定期汇总工单分流情况，跟踪督促属地相关部门及时分流转办、及时调查处理、及时反馈回复。</w:t>
      </w:r>
    </w:p>
    <w:p w14:paraId="0A66D50A">
      <w:pPr>
        <w:spacing w:line="540" w:lineRule="exact"/>
        <w:ind w:firstLine="632" w:firstLineChars="200"/>
        <w:rPr>
          <w:szCs w:val="32"/>
        </w:rPr>
      </w:pPr>
      <w:r>
        <w:rPr>
          <w:bCs/>
          <w:szCs w:val="32"/>
        </w:rPr>
        <w:t>5.</w:t>
      </w:r>
      <w:r>
        <w:rPr>
          <w:rFonts w:hint="eastAsia"/>
          <w:bCs/>
          <w:szCs w:val="32"/>
        </w:rPr>
        <w:t xml:space="preserve"> </w:t>
      </w:r>
      <w:r>
        <w:rPr>
          <w:bCs/>
          <w:szCs w:val="32"/>
        </w:rPr>
        <w:t>优化执法办案机制。</w:t>
      </w:r>
      <w:r>
        <w:rPr>
          <w:szCs w:val="32"/>
        </w:rPr>
        <w:t>各有关部门全面排查农贸市场各类风险点，采取定期会商、信息函告、联合执法等措施，从严从快核查违法行为，依法依规处罚违法经营商户和市场主办方，做到一案双查。开展追根溯源，强化源头治理，做到追源头、端窝点、斩链条。分领域制定农贸市场违法经营行为查处指引，细化自由裁量基准，做到类案同罚，杜绝畸轻畸重、随意处罚。</w:t>
      </w:r>
    </w:p>
    <w:p w14:paraId="0C0744D8">
      <w:pPr>
        <w:spacing w:line="540" w:lineRule="exact"/>
        <w:ind w:firstLine="632" w:firstLineChars="200"/>
        <w:rPr>
          <w:spacing w:val="-4"/>
          <w:szCs w:val="32"/>
        </w:rPr>
      </w:pPr>
      <w:r>
        <w:rPr>
          <w:bCs/>
          <w:szCs w:val="32"/>
        </w:rPr>
        <w:t>6.</w:t>
      </w:r>
      <w:r>
        <w:rPr>
          <w:rFonts w:hint="eastAsia"/>
          <w:bCs/>
          <w:szCs w:val="32"/>
        </w:rPr>
        <w:t xml:space="preserve"> </w:t>
      </w:r>
      <w:r>
        <w:rPr>
          <w:bCs/>
          <w:szCs w:val="32"/>
        </w:rPr>
        <w:t>探索智慧</w:t>
      </w:r>
      <w:r>
        <w:rPr>
          <w:rFonts w:hint="eastAsia"/>
          <w:bCs/>
          <w:szCs w:val="32"/>
        </w:rPr>
        <w:t>+</w:t>
      </w:r>
      <w:r>
        <w:rPr>
          <w:bCs/>
          <w:szCs w:val="32"/>
        </w:rPr>
        <w:t>人工监管机制。</w:t>
      </w:r>
      <w:r>
        <w:rPr>
          <w:szCs w:val="32"/>
        </w:rPr>
        <w:t>建设食用农产品市场质量安全追溯系统，统一采集食用农产品进货、检测、交易等数据信息，推行消费者扫码开票溯源，实现食用农产品安全风险实时预警、及时处置。在全省首批试点“一秤一码”计量监管，打造“码”上品牌，形成扫“码”对不良经营商户的震慑效应。</w:t>
      </w:r>
      <w:r>
        <w:rPr>
          <w:rFonts w:hint="eastAsia"/>
          <w:szCs w:val="32"/>
        </w:rPr>
        <w:t>推动</w:t>
      </w:r>
      <w:r>
        <w:rPr>
          <w:szCs w:val="32"/>
        </w:rPr>
        <w:t>各农贸市场在重点区域加装视频监控</w:t>
      </w:r>
      <w:r>
        <w:rPr>
          <w:rFonts w:hint="eastAsia"/>
          <w:szCs w:val="32"/>
        </w:rPr>
        <w:t>，</w:t>
      </w:r>
      <w:r>
        <w:rPr>
          <w:szCs w:val="32"/>
        </w:rPr>
        <w:t>并接入</w:t>
      </w:r>
      <w:r>
        <w:rPr>
          <w:rFonts w:hint="eastAsia"/>
          <w:szCs w:val="32"/>
        </w:rPr>
        <w:t>属地市场智慧监管平台，接受全时全程监督，推进市场交易全天候“阳光化”。</w:t>
      </w:r>
      <w:r>
        <w:rPr>
          <w:szCs w:val="32"/>
        </w:rPr>
        <w:t>支持有条件的县</w:t>
      </w:r>
      <w:r>
        <w:rPr>
          <w:spacing w:val="-4"/>
          <w:szCs w:val="32"/>
        </w:rPr>
        <w:t>区建设智慧农贸市场，通过自检自查、AI预警等功能应用，实时掌控农贸市场日常经营、环境卫生等动态情况，及时排查整治问题。</w:t>
      </w:r>
    </w:p>
    <w:p w14:paraId="5D7FD6D2">
      <w:pPr>
        <w:spacing w:line="540" w:lineRule="exact"/>
        <w:ind w:firstLine="632" w:firstLineChars="200"/>
        <w:rPr>
          <w:rFonts w:eastAsia="楷体_GB2312"/>
          <w:szCs w:val="32"/>
        </w:rPr>
      </w:pPr>
      <w:r>
        <w:rPr>
          <w:rFonts w:eastAsia="楷体_GB2312"/>
          <w:szCs w:val="32"/>
        </w:rPr>
        <w:t>（三）全面营造诚实守信的市场环境</w:t>
      </w:r>
      <w:r>
        <w:rPr>
          <w:rFonts w:hint="eastAsia" w:eastAsia="楷体_GB2312"/>
          <w:szCs w:val="32"/>
        </w:rPr>
        <w:t>。</w:t>
      </w:r>
    </w:p>
    <w:p w14:paraId="735450AA">
      <w:pPr>
        <w:spacing w:line="540" w:lineRule="exact"/>
        <w:ind w:firstLine="632" w:firstLineChars="200"/>
        <w:rPr>
          <w:szCs w:val="32"/>
        </w:rPr>
      </w:pPr>
      <w:r>
        <w:rPr>
          <w:bCs/>
          <w:szCs w:val="32"/>
        </w:rPr>
        <w:t>7.</w:t>
      </w:r>
      <w:r>
        <w:rPr>
          <w:rFonts w:hint="eastAsia"/>
          <w:bCs/>
          <w:szCs w:val="32"/>
        </w:rPr>
        <w:t xml:space="preserve"> </w:t>
      </w:r>
      <w:r>
        <w:rPr>
          <w:bCs/>
          <w:szCs w:val="32"/>
        </w:rPr>
        <w:t>开展信用</w:t>
      </w:r>
      <w:r>
        <w:rPr>
          <w:rFonts w:hint="eastAsia"/>
          <w:bCs/>
          <w:szCs w:val="32"/>
        </w:rPr>
        <w:t>等级</w:t>
      </w:r>
      <w:r>
        <w:rPr>
          <w:bCs/>
          <w:szCs w:val="32"/>
        </w:rPr>
        <w:t>评定。</w:t>
      </w:r>
      <w:r>
        <w:rPr>
          <w:szCs w:val="32"/>
        </w:rPr>
        <w:t>相关部门</w:t>
      </w:r>
      <w:r>
        <w:rPr>
          <w:rFonts w:hint="eastAsia"/>
          <w:szCs w:val="32"/>
        </w:rPr>
        <w:t>共同研究</w:t>
      </w:r>
      <w:r>
        <w:rPr>
          <w:szCs w:val="32"/>
        </w:rPr>
        <w:t>出台《连云港市农贸市场信用分级</w:t>
      </w:r>
      <w:r>
        <w:rPr>
          <w:rFonts w:hint="eastAsia"/>
          <w:szCs w:val="32"/>
        </w:rPr>
        <w:t>分类</w:t>
      </w:r>
      <w:r>
        <w:rPr>
          <w:szCs w:val="32"/>
        </w:rPr>
        <w:t>管理办法》，从农贸市场环境卫生、食品安全、经营秩序、综合服务等方面，制定评分细则和评分标准，按照评定等级实施分类监管。</w:t>
      </w:r>
      <w:r>
        <w:rPr>
          <w:rFonts w:hint="eastAsia"/>
          <w:szCs w:val="32"/>
        </w:rPr>
        <w:t>支持市场主办方开展“文明诚信商户”评选活动，激发经营商户文明诚信经营的自觉性和主动性</w:t>
      </w:r>
      <w:r>
        <w:rPr>
          <w:szCs w:val="32"/>
        </w:rPr>
        <w:t>。</w:t>
      </w:r>
    </w:p>
    <w:p w14:paraId="26674436">
      <w:pPr>
        <w:spacing w:line="540" w:lineRule="exact"/>
        <w:ind w:firstLine="632" w:firstLineChars="200"/>
        <w:rPr>
          <w:szCs w:val="32"/>
        </w:rPr>
      </w:pPr>
      <w:r>
        <w:rPr>
          <w:bCs/>
          <w:szCs w:val="32"/>
        </w:rPr>
        <w:t>8.</w:t>
      </w:r>
      <w:r>
        <w:rPr>
          <w:rFonts w:hint="eastAsia"/>
          <w:bCs/>
          <w:szCs w:val="32"/>
        </w:rPr>
        <w:t xml:space="preserve"> </w:t>
      </w:r>
      <w:r>
        <w:rPr>
          <w:bCs/>
          <w:szCs w:val="32"/>
        </w:rPr>
        <w:t>深化失信联合惩戒。</w:t>
      </w:r>
      <w:r>
        <w:rPr>
          <w:szCs w:val="32"/>
        </w:rPr>
        <w:t>全面推行信用承诺制，各有关部门发现农贸市场主办方、经营商户违反承诺，按规定将违诺数据共享至市公共信用信息系统并记入其信用档案，对市场主办方和经营商户违法行为的处罚结果，及时纳入全市企业信用和个人诚信记录。督促市场主办方对经营商户加强日常管理，对失信行为采取先行赔付</w:t>
      </w:r>
      <w:r>
        <w:rPr>
          <w:rFonts w:hint="eastAsia"/>
          <w:szCs w:val="32"/>
        </w:rPr>
        <w:t>，</w:t>
      </w:r>
      <w:r>
        <w:rPr>
          <w:szCs w:val="32"/>
        </w:rPr>
        <w:t>对失信经营商户通过悬挂黄牌警示、公示违法信息等方式</w:t>
      </w:r>
      <w:r>
        <w:rPr>
          <w:rFonts w:hint="eastAsia"/>
          <w:szCs w:val="32"/>
        </w:rPr>
        <w:t>依法</w:t>
      </w:r>
      <w:r>
        <w:rPr>
          <w:szCs w:val="32"/>
        </w:rPr>
        <w:t>惩戒，让不法经营</w:t>
      </w:r>
      <w:r>
        <w:rPr>
          <w:rFonts w:hint="eastAsia"/>
          <w:szCs w:val="32"/>
        </w:rPr>
        <w:t>商户</w:t>
      </w:r>
      <w:r>
        <w:rPr>
          <w:szCs w:val="32"/>
        </w:rPr>
        <w:t>一次受罚、处处受限。</w:t>
      </w:r>
    </w:p>
    <w:p w14:paraId="55F6EF96">
      <w:pPr>
        <w:spacing w:line="540" w:lineRule="exact"/>
        <w:ind w:firstLine="632" w:firstLineChars="200"/>
        <w:rPr>
          <w:szCs w:val="32"/>
        </w:rPr>
      </w:pPr>
      <w:r>
        <w:rPr>
          <w:bCs/>
          <w:szCs w:val="32"/>
        </w:rPr>
        <w:t>9.</w:t>
      </w:r>
      <w:r>
        <w:rPr>
          <w:rFonts w:hint="eastAsia"/>
          <w:bCs/>
          <w:szCs w:val="32"/>
        </w:rPr>
        <w:t xml:space="preserve"> </w:t>
      </w:r>
      <w:r>
        <w:rPr>
          <w:bCs/>
          <w:szCs w:val="32"/>
        </w:rPr>
        <w:t>构建社会共治格局。</w:t>
      </w:r>
      <w:r>
        <w:rPr>
          <w:szCs w:val="32"/>
        </w:rPr>
        <w:t>督促农贸市场主办方加大对经营商户的教育培训，倡导诚信守法经营理念。支持社会各方参与农贸市场规范管理工作，监管部门、农贸市场主办方、经营商户自觉接受群众监督。加强宣传引导，积极推广典型做法，及时曝光负面案例，有效形成行政监管、行业自律和社会监督工作合力</w:t>
      </w:r>
      <w:r>
        <w:rPr>
          <w:rFonts w:hint="eastAsia"/>
          <w:szCs w:val="32"/>
        </w:rPr>
        <w:t>，</w:t>
      </w:r>
      <w:r>
        <w:rPr>
          <w:szCs w:val="32"/>
        </w:rPr>
        <w:t>努力营造规范有序经营氛围。</w:t>
      </w:r>
    </w:p>
    <w:p w14:paraId="2DB6EB57">
      <w:pPr>
        <w:spacing w:line="540" w:lineRule="exact"/>
        <w:ind w:firstLine="632" w:firstLineChars="200"/>
        <w:rPr>
          <w:rFonts w:eastAsia="黑体"/>
          <w:szCs w:val="32"/>
        </w:rPr>
      </w:pPr>
      <w:r>
        <w:rPr>
          <w:rFonts w:eastAsia="黑体"/>
          <w:szCs w:val="32"/>
        </w:rPr>
        <w:t>四、保障措施</w:t>
      </w:r>
    </w:p>
    <w:p w14:paraId="5D3BB076">
      <w:pPr>
        <w:spacing w:line="540" w:lineRule="exact"/>
        <w:ind w:firstLine="632" w:firstLineChars="200"/>
        <w:rPr>
          <w:szCs w:val="32"/>
        </w:rPr>
      </w:pPr>
      <w:r>
        <w:rPr>
          <w:rFonts w:eastAsia="楷体_GB2312"/>
          <w:szCs w:val="32"/>
        </w:rPr>
        <w:t>（一）强化组织领导。</w:t>
      </w:r>
      <w:r>
        <w:rPr>
          <w:szCs w:val="32"/>
        </w:rPr>
        <w:t>在市政府统一领导下，建立市县两级农贸市场规范管理联席会议制度，研究解决农贸市场规范管理中的重点难点问题。联席会议由市场监督管理部门牵头，原则上每年召开一次，根据需要可召开专题会议。</w:t>
      </w:r>
    </w:p>
    <w:p w14:paraId="7B3B9DE1">
      <w:pPr>
        <w:spacing w:line="540" w:lineRule="exact"/>
        <w:ind w:firstLine="632" w:firstLineChars="200"/>
        <w:rPr>
          <w:szCs w:val="32"/>
        </w:rPr>
      </w:pPr>
      <w:r>
        <w:rPr>
          <w:rFonts w:eastAsia="楷体_GB2312"/>
          <w:szCs w:val="32"/>
        </w:rPr>
        <w:t>（二）</w:t>
      </w:r>
      <w:r>
        <w:rPr>
          <w:rFonts w:hint="default" w:eastAsia="楷体_GB2312"/>
          <w:szCs w:val="32"/>
          <w:lang w:val="en-US" w:eastAsia="zh-CN"/>
        </w:rPr>
        <w:t>强化资金引导</w:t>
      </w:r>
      <w:r>
        <w:rPr>
          <w:rFonts w:hint="eastAsia" w:cs="Times New Roman"/>
          <w:lang w:val="en-US" w:eastAsia="zh-CN" w:bidi="ar-SA"/>
        </w:rPr>
        <w:t>。</w:t>
      </w:r>
      <w:r>
        <w:rPr>
          <w:rFonts w:hint="default"/>
          <w:szCs w:val="32"/>
          <w:lang w:val="en-US" w:eastAsia="zh-CN"/>
        </w:rPr>
        <w:t>坚持政府引导、市场主导，各级人民政府</w:t>
      </w:r>
      <w:r>
        <w:rPr>
          <w:rFonts w:hint="eastAsia"/>
          <w:szCs w:val="32"/>
          <w:lang w:val="en-US" w:eastAsia="zh-CN"/>
        </w:rPr>
        <w:t>加强</w:t>
      </w:r>
      <w:r>
        <w:rPr>
          <w:rFonts w:hint="default"/>
          <w:szCs w:val="32"/>
          <w:lang w:val="en-US" w:eastAsia="zh-CN"/>
        </w:rPr>
        <w:t>农贸市场建设运营扶持，通过招商引资等</w:t>
      </w:r>
      <w:r>
        <w:rPr>
          <w:rFonts w:hint="eastAsia"/>
          <w:szCs w:val="32"/>
          <w:lang w:val="en-US" w:eastAsia="zh-CN"/>
        </w:rPr>
        <w:t>多种</w:t>
      </w:r>
      <w:r>
        <w:rPr>
          <w:rFonts w:hint="default"/>
          <w:szCs w:val="32"/>
          <w:lang w:val="en-US" w:eastAsia="zh-CN"/>
        </w:rPr>
        <w:t>渠道，引导各种资金投向农贸市场体系建设，提升农贸市场设施、设备等硬件建设工作。</w:t>
      </w:r>
    </w:p>
    <w:p w14:paraId="6621125D">
      <w:pPr>
        <w:spacing w:line="540" w:lineRule="exact"/>
        <w:ind w:firstLine="632" w:firstLineChars="200"/>
      </w:pPr>
      <w:r>
        <w:rPr>
          <w:rFonts w:eastAsia="楷体_GB2312"/>
        </w:rPr>
        <w:t>（三）</w:t>
      </w:r>
      <w:r>
        <w:rPr>
          <w:rFonts w:hint="default" w:eastAsia="楷体_GB2312"/>
          <w:szCs w:val="32"/>
          <w:lang w:val="en-US" w:eastAsia="zh-CN"/>
        </w:rPr>
        <w:t>强化社会共治</w:t>
      </w:r>
      <w:r>
        <w:rPr>
          <w:rFonts w:hint="eastAsia" w:eastAsia="楷体_GB2312"/>
          <w:szCs w:val="32"/>
          <w:lang w:val="en-US" w:eastAsia="zh-CN"/>
        </w:rPr>
        <w:t>。</w:t>
      </w:r>
      <w:r>
        <w:rPr>
          <w:rFonts w:hint="default"/>
          <w:szCs w:val="32"/>
          <w:lang w:val="en-US" w:eastAsia="zh-CN"/>
        </w:rPr>
        <w:t>各地各部门要综合运用报刊、电视、网络和新兴自媒体等平台，对工作进展、主要成效和典型经验进行广泛宣传；要放手发动群众，引导农贸市场主办方、经营商户主动接受群众监督，努力营造政府组织领导、农贸市场履责、部门协同监管、社会积极参与的良好氛围。</w:t>
      </w:r>
      <w:bookmarkStart w:id="0" w:name="_GoBack"/>
      <w:bookmarkEnd w:id="0"/>
    </w:p>
    <w:p w14:paraId="625390C2">
      <w:pPr>
        <w:pStyle w:val="2"/>
        <w:spacing w:after="0" w:line="540" w:lineRule="exact"/>
        <w:ind w:firstLine="316"/>
      </w:pPr>
    </w:p>
    <w:p w14:paraId="4DDFF5D1">
      <w:pPr>
        <w:spacing w:line="540" w:lineRule="exact"/>
        <w:ind w:firstLine="632" w:firstLineChars="200"/>
        <w:rPr>
          <w:szCs w:val="32"/>
        </w:rPr>
      </w:pPr>
      <w:r>
        <w:rPr>
          <w:szCs w:val="32"/>
        </w:rPr>
        <w:t>附件：</w:t>
      </w:r>
      <w:r>
        <w:rPr>
          <w:rFonts w:hint="eastAsia"/>
          <w:szCs w:val="32"/>
        </w:rPr>
        <w:t>全</w:t>
      </w:r>
      <w:r>
        <w:rPr>
          <w:szCs w:val="32"/>
        </w:rPr>
        <w:t>市农贸市场管理职能部门工作职责</w:t>
      </w:r>
    </w:p>
    <w:p w14:paraId="2223FF69">
      <w:pPr>
        <w:spacing w:line="550" w:lineRule="exact"/>
        <w:ind w:firstLine="0"/>
        <w:jc w:val="left"/>
        <w:rPr>
          <w:rFonts w:eastAsia="方正黑体_GBK"/>
          <w:szCs w:val="32"/>
        </w:rPr>
      </w:pPr>
      <w:r>
        <w:rPr>
          <w:rFonts w:eastAsia="方正黑体_GBK"/>
          <w:szCs w:val="32"/>
        </w:rPr>
        <w:br w:type="page"/>
      </w:r>
      <w:r>
        <w:rPr>
          <w:rFonts w:eastAsia="方正黑体_GBK"/>
          <w:szCs w:val="32"/>
        </w:rPr>
        <w:t>附件</w:t>
      </w:r>
    </w:p>
    <w:p w14:paraId="2F4B98D6">
      <w:pPr>
        <w:spacing w:line="550" w:lineRule="exact"/>
        <w:ind w:firstLine="632" w:firstLineChars="200"/>
        <w:rPr>
          <w:rFonts w:eastAsia="方正仿宋_GBK"/>
          <w:szCs w:val="32"/>
        </w:rPr>
      </w:pPr>
    </w:p>
    <w:p w14:paraId="24A39BB1">
      <w:pPr>
        <w:spacing w:line="550" w:lineRule="exact"/>
        <w:ind w:firstLine="0"/>
        <w:jc w:val="center"/>
        <w:rPr>
          <w:rFonts w:eastAsia="方正小标宋_GBK"/>
          <w:sz w:val="44"/>
          <w:szCs w:val="44"/>
        </w:rPr>
      </w:pPr>
      <w:r>
        <w:rPr>
          <w:rFonts w:hint="eastAsia" w:eastAsia="方正小标宋_GBK"/>
          <w:sz w:val="44"/>
          <w:szCs w:val="44"/>
        </w:rPr>
        <w:t>全</w:t>
      </w:r>
      <w:r>
        <w:rPr>
          <w:rFonts w:eastAsia="方正小标宋_GBK"/>
          <w:sz w:val="44"/>
          <w:szCs w:val="44"/>
        </w:rPr>
        <w:t>市农贸市场管理职能部门工作职责</w:t>
      </w:r>
    </w:p>
    <w:p w14:paraId="1A10727C">
      <w:pPr>
        <w:spacing w:line="550" w:lineRule="exact"/>
        <w:ind w:firstLine="632" w:firstLineChars="200"/>
        <w:rPr>
          <w:rFonts w:eastAsia="方正楷体_GBK"/>
          <w:szCs w:val="32"/>
        </w:rPr>
      </w:pPr>
    </w:p>
    <w:p w14:paraId="0E8A88DE">
      <w:pPr>
        <w:spacing w:line="540" w:lineRule="exact"/>
        <w:ind w:firstLine="632" w:firstLineChars="200"/>
        <w:rPr>
          <w:szCs w:val="32"/>
        </w:rPr>
      </w:pPr>
      <w:r>
        <w:rPr>
          <w:rFonts w:eastAsia="黑体"/>
          <w:bCs/>
          <w:szCs w:val="32"/>
        </w:rPr>
        <w:t>1.</w:t>
      </w:r>
      <w:r>
        <w:rPr>
          <w:rFonts w:hint="eastAsia" w:eastAsia="黑体"/>
          <w:bCs/>
          <w:szCs w:val="32"/>
        </w:rPr>
        <w:t xml:space="preserve"> </w:t>
      </w:r>
      <w:r>
        <w:rPr>
          <w:rFonts w:eastAsia="黑体"/>
          <w:bCs/>
          <w:szCs w:val="32"/>
        </w:rPr>
        <w:t>市场监督管理部门：</w:t>
      </w:r>
      <w:r>
        <w:rPr>
          <w:szCs w:val="32"/>
        </w:rPr>
        <w:t>负责农贸市场经营主体的登记注册，对市场内销售的商品质量安全、计量器具、计量行为、商品和服务价格以及经营秩序进行监督管理。督促市场经营商户亮证亮照经营，依法取缔无证无照经营；依法查处不正当竞争行为，打击制售假冒伪劣商品、价格违法等行为。负责督导市场主办方落实食品安全主体责任，建立健全食品安全管理制度并在市场显著位置公示，对场内食品及食用农产品经营商户的销售环境及条件、索证索票执行情况进行日常检查。按照职责做好市场内野生动植物监督管理工作。</w:t>
      </w:r>
    </w:p>
    <w:p w14:paraId="5E2C73A9">
      <w:pPr>
        <w:spacing w:line="540" w:lineRule="exact"/>
        <w:ind w:firstLine="632" w:firstLineChars="200"/>
        <w:rPr>
          <w:szCs w:val="32"/>
        </w:rPr>
      </w:pPr>
      <w:r>
        <w:rPr>
          <w:rFonts w:eastAsia="黑体"/>
          <w:bCs/>
          <w:szCs w:val="32"/>
        </w:rPr>
        <w:t>2.</w:t>
      </w:r>
      <w:r>
        <w:rPr>
          <w:rFonts w:hint="eastAsia" w:eastAsia="黑体"/>
          <w:bCs/>
          <w:szCs w:val="32"/>
        </w:rPr>
        <w:t xml:space="preserve"> </w:t>
      </w:r>
      <w:r>
        <w:rPr>
          <w:rFonts w:eastAsia="黑体"/>
          <w:bCs/>
          <w:szCs w:val="32"/>
        </w:rPr>
        <w:t>商务部门：</w:t>
      </w:r>
      <w:r>
        <w:rPr>
          <w:szCs w:val="32"/>
        </w:rPr>
        <w:t>负责制定农贸市场专项规划、建设和验收规范，指导农贸市场建设和升级改造工作。研究提出引导各种资金投向农贸市场体系建设的政策，通过招商引资，提升农贸市场设施、设备等硬件建设工作。推进农村市场和农产品流通体系建设。负责督导市场空间布局合理、设施建设标准，引导智慧农贸市场软硬件设施建设。</w:t>
      </w:r>
    </w:p>
    <w:p w14:paraId="491D4A64">
      <w:pPr>
        <w:spacing w:line="540" w:lineRule="exact"/>
        <w:ind w:firstLine="632" w:firstLineChars="200"/>
        <w:rPr>
          <w:szCs w:val="32"/>
        </w:rPr>
      </w:pPr>
      <w:r>
        <w:rPr>
          <w:rFonts w:eastAsia="黑体"/>
          <w:bCs/>
          <w:szCs w:val="32"/>
        </w:rPr>
        <w:t>3.</w:t>
      </w:r>
      <w:r>
        <w:rPr>
          <w:rFonts w:hint="eastAsia" w:eastAsia="黑体"/>
          <w:bCs/>
          <w:szCs w:val="32"/>
        </w:rPr>
        <w:t xml:space="preserve"> </w:t>
      </w:r>
      <w:r>
        <w:rPr>
          <w:rFonts w:eastAsia="黑体"/>
          <w:bCs/>
          <w:szCs w:val="32"/>
        </w:rPr>
        <w:t>卫生健康部门</w:t>
      </w:r>
      <w:r>
        <w:rPr>
          <w:rFonts w:eastAsia="方正黑体_GBK"/>
          <w:bCs/>
          <w:szCs w:val="32"/>
        </w:rPr>
        <w:t>：</w:t>
      </w:r>
      <w:r>
        <w:rPr>
          <w:szCs w:val="32"/>
        </w:rPr>
        <w:t>负责监督、指导农贸市场的病媒生物预防控制及爱国卫生运动工作。指导做好传染病疫情防控，负责农贸市场公共卫生的应急工作，组织指导农贸市场突发公共卫生事件的预防控制和各类突发公共事件的医疗卫生救援。依法管理突发公共卫生事件应急处置信息。负责卫生健康宣传、健康教育、健康科学普及等工作。负责食品安全风险监测工作，会同市场监督管理等部门制定、实施食品安全风险监测计划。开展食品安全标准跟踪评价及食品安全企业标准备案工作。</w:t>
      </w:r>
    </w:p>
    <w:p w14:paraId="54775A36">
      <w:pPr>
        <w:spacing w:line="540" w:lineRule="exact"/>
        <w:ind w:firstLine="632" w:firstLineChars="200"/>
        <w:rPr>
          <w:szCs w:val="32"/>
        </w:rPr>
      </w:pPr>
      <w:r>
        <w:rPr>
          <w:rFonts w:eastAsia="黑体"/>
          <w:bCs/>
          <w:szCs w:val="32"/>
        </w:rPr>
        <w:t>4.</w:t>
      </w:r>
      <w:r>
        <w:rPr>
          <w:rFonts w:hint="eastAsia" w:eastAsia="黑体"/>
          <w:bCs/>
          <w:szCs w:val="32"/>
        </w:rPr>
        <w:t xml:space="preserve"> </w:t>
      </w:r>
      <w:r>
        <w:rPr>
          <w:rFonts w:eastAsia="黑体"/>
          <w:bCs/>
          <w:szCs w:val="32"/>
        </w:rPr>
        <w:t>城市管理部门：</w:t>
      </w:r>
      <w:r>
        <w:rPr>
          <w:szCs w:val="32"/>
        </w:rPr>
        <w:t>负责农贸市场周边的市容和环境卫生监督管理及执法工作。向农贸市场制发《市容和环境卫生责任告知书》</w:t>
      </w:r>
      <w:r>
        <w:rPr>
          <w:rFonts w:hint="eastAsia"/>
          <w:szCs w:val="32"/>
        </w:rPr>
        <w:t>。</w:t>
      </w:r>
      <w:r>
        <w:rPr>
          <w:szCs w:val="32"/>
        </w:rPr>
        <w:t>督促市场责任人履行市容和环境卫生责任，保持责任区内市容整洁、整齐有序。负责指导督促和检查市场责任人生活垃圾分类投放、收集、运输、处理等管理工作。负责对市场周边影响市容环境的经营秩序、临时摊贩和非机动车进行清理整治。负责市场周边户外广告的管理及执法工作。</w:t>
      </w:r>
    </w:p>
    <w:p w14:paraId="5FF7B9E9">
      <w:pPr>
        <w:spacing w:line="540" w:lineRule="exact"/>
        <w:ind w:firstLine="632" w:firstLineChars="200"/>
        <w:rPr>
          <w:szCs w:val="32"/>
        </w:rPr>
      </w:pPr>
      <w:r>
        <w:rPr>
          <w:rFonts w:eastAsia="黑体"/>
          <w:bCs/>
          <w:szCs w:val="32"/>
        </w:rPr>
        <w:t>5.</w:t>
      </w:r>
      <w:r>
        <w:rPr>
          <w:rFonts w:hint="eastAsia" w:eastAsia="黑体"/>
          <w:bCs/>
          <w:szCs w:val="32"/>
        </w:rPr>
        <w:t xml:space="preserve"> </w:t>
      </w:r>
      <w:r>
        <w:rPr>
          <w:rFonts w:eastAsia="黑体"/>
          <w:bCs/>
          <w:szCs w:val="32"/>
        </w:rPr>
        <w:t>农业农村部门：</w:t>
      </w:r>
      <w:r>
        <w:rPr>
          <w:szCs w:val="32"/>
        </w:rPr>
        <w:t>负责对经营动物、动物产品的农贸市场的防疫条件进行监督检查，负责食用农产品从种植养殖环节到进入批发、零售市场前的质量安全监督管理，并开展质量安全风险监测和风险评估工作。负责对有关农业投入品的监督管理。协助做好市场内水生野生动植物保护执法检查活动。</w:t>
      </w:r>
    </w:p>
    <w:p w14:paraId="77C76864">
      <w:pPr>
        <w:spacing w:line="540" w:lineRule="exact"/>
        <w:ind w:firstLine="632" w:firstLineChars="200"/>
        <w:rPr>
          <w:szCs w:val="32"/>
        </w:rPr>
      </w:pPr>
      <w:r>
        <w:rPr>
          <w:rFonts w:eastAsia="黑体"/>
          <w:bCs/>
          <w:szCs w:val="32"/>
        </w:rPr>
        <w:t>6.</w:t>
      </w:r>
      <w:r>
        <w:rPr>
          <w:rFonts w:hint="eastAsia" w:eastAsia="黑体"/>
          <w:bCs/>
          <w:szCs w:val="32"/>
        </w:rPr>
        <w:t xml:space="preserve"> </w:t>
      </w:r>
      <w:r>
        <w:rPr>
          <w:rFonts w:eastAsia="黑体"/>
          <w:bCs/>
          <w:szCs w:val="32"/>
        </w:rPr>
        <w:t>自然资源和规划部门：</w:t>
      </w:r>
      <w:r>
        <w:rPr>
          <w:szCs w:val="32"/>
        </w:rPr>
        <w:t>承担并指导农贸市场建设项目选址及用地预审工作。负责城市规划区内新建、扩建、改建农贸市场房屋建筑工程建筑方案审查和施工图规划审核工作；负责城市规划区内农贸市场建筑工程项目验线和规划核实工作。配合做好市场内陆生野生动植物保护执法检查活动。</w:t>
      </w:r>
    </w:p>
    <w:p w14:paraId="7BFF90E2">
      <w:pPr>
        <w:spacing w:line="540" w:lineRule="exact"/>
        <w:ind w:firstLine="632" w:firstLineChars="200"/>
        <w:rPr>
          <w:szCs w:val="32"/>
        </w:rPr>
      </w:pPr>
      <w:r>
        <w:rPr>
          <w:rFonts w:eastAsia="黑体"/>
          <w:bCs/>
          <w:szCs w:val="32"/>
        </w:rPr>
        <w:t>7.</w:t>
      </w:r>
      <w:r>
        <w:rPr>
          <w:rFonts w:hint="eastAsia" w:eastAsia="黑体"/>
          <w:bCs/>
          <w:szCs w:val="32"/>
        </w:rPr>
        <w:t xml:space="preserve"> </w:t>
      </w:r>
      <w:r>
        <w:rPr>
          <w:rFonts w:eastAsia="黑体"/>
          <w:bCs/>
          <w:szCs w:val="32"/>
        </w:rPr>
        <w:t>住房和城乡建设部门：</w:t>
      </w:r>
      <w:r>
        <w:rPr>
          <w:szCs w:val="32"/>
        </w:rPr>
        <w:t>负责指导农贸市场主办方落实房屋建筑安全主体责任。督促属地政府和行业主管部门落实监管责任。参与房屋建筑安全事故的调查处理及应急管理工作。配合相关部门开展房屋建筑安全生产检查和专项督查。参与环境卫生主管部门指导农贸市场的生活垃圾分类设施建设。</w:t>
      </w:r>
    </w:p>
    <w:p w14:paraId="6C3FB1FD">
      <w:pPr>
        <w:spacing w:line="540" w:lineRule="exact"/>
        <w:ind w:firstLine="632" w:firstLineChars="200"/>
        <w:rPr>
          <w:szCs w:val="32"/>
        </w:rPr>
      </w:pPr>
      <w:r>
        <w:rPr>
          <w:rFonts w:eastAsia="黑体"/>
          <w:bCs/>
          <w:szCs w:val="32"/>
        </w:rPr>
        <w:t>8.</w:t>
      </w:r>
      <w:r>
        <w:rPr>
          <w:rFonts w:hint="eastAsia" w:eastAsia="黑体"/>
          <w:bCs/>
          <w:szCs w:val="32"/>
        </w:rPr>
        <w:t xml:space="preserve"> </w:t>
      </w:r>
      <w:r>
        <w:rPr>
          <w:rFonts w:eastAsia="黑体"/>
          <w:bCs/>
          <w:szCs w:val="32"/>
        </w:rPr>
        <w:t>应急管理部门：</w:t>
      </w:r>
      <w:r>
        <w:rPr>
          <w:szCs w:val="32"/>
        </w:rPr>
        <w:t>开展应急管理、防灾减灾宣传教育，协调应急力量参与自然灾害、事故灾难类突发情况处置。</w:t>
      </w:r>
    </w:p>
    <w:p w14:paraId="575C8023">
      <w:pPr>
        <w:spacing w:line="540" w:lineRule="exact"/>
        <w:ind w:firstLine="632" w:firstLineChars="200"/>
        <w:rPr>
          <w:szCs w:val="32"/>
        </w:rPr>
      </w:pPr>
      <w:r>
        <w:rPr>
          <w:rFonts w:eastAsia="黑体"/>
          <w:bCs/>
          <w:szCs w:val="32"/>
        </w:rPr>
        <w:t>9.</w:t>
      </w:r>
      <w:r>
        <w:rPr>
          <w:rFonts w:hint="eastAsia" w:eastAsia="黑体"/>
          <w:bCs/>
          <w:szCs w:val="32"/>
        </w:rPr>
        <w:t xml:space="preserve"> </w:t>
      </w:r>
      <w:r>
        <w:rPr>
          <w:rFonts w:eastAsia="黑体"/>
          <w:bCs/>
          <w:szCs w:val="32"/>
        </w:rPr>
        <w:t>生态环境部门：</w:t>
      </w:r>
      <w:r>
        <w:rPr>
          <w:szCs w:val="32"/>
        </w:rPr>
        <w:t>配合相关部门依法指导和监督农贸市场污染防治管理，依法查处生态环境违法问题。</w:t>
      </w:r>
    </w:p>
    <w:p w14:paraId="2496B5E7">
      <w:pPr>
        <w:spacing w:line="540" w:lineRule="exact"/>
        <w:ind w:firstLine="632" w:firstLineChars="200"/>
        <w:rPr>
          <w:szCs w:val="32"/>
        </w:rPr>
      </w:pPr>
      <w:r>
        <w:rPr>
          <w:rFonts w:eastAsia="黑体"/>
          <w:bCs/>
          <w:szCs w:val="32"/>
        </w:rPr>
        <w:t>10.</w:t>
      </w:r>
      <w:r>
        <w:rPr>
          <w:rFonts w:hint="eastAsia" w:eastAsia="黑体"/>
          <w:bCs/>
          <w:szCs w:val="32"/>
        </w:rPr>
        <w:t xml:space="preserve"> </w:t>
      </w:r>
      <w:r>
        <w:rPr>
          <w:rFonts w:eastAsia="黑体"/>
          <w:bCs/>
          <w:szCs w:val="32"/>
        </w:rPr>
        <w:t>公安部门：</w:t>
      </w:r>
      <w:r>
        <w:rPr>
          <w:szCs w:val="32"/>
        </w:rPr>
        <w:t>负责农贸市场内治安工作的监督指导，督促市场</w:t>
      </w:r>
      <w:r>
        <w:rPr>
          <w:rFonts w:hint="eastAsia"/>
          <w:szCs w:val="32"/>
        </w:rPr>
        <w:t>主办方</w:t>
      </w:r>
      <w:r>
        <w:rPr>
          <w:szCs w:val="32"/>
        </w:rPr>
        <w:t>和经营</w:t>
      </w:r>
      <w:r>
        <w:rPr>
          <w:rFonts w:hint="eastAsia"/>
          <w:szCs w:val="32"/>
        </w:rPr>
        <w:t>商户</w:t>
      </w:r>
      <w:r>
        <w:rPr>
          <w:szCs w:val="32"/>
        </w:rPr>
        <w:t>做好市场内部治安防范工作，依法处理对市场交易过程中发生的需要给予治安处罚或者追究刑事责任的违法犯罪行为。维护市场周边道路交通秩序，依法查处各类违反交通法规的行为。指导督促派出所加强监管范围内农贸市场消防工作的指导和监管，对消防设施设置不符合规定、消防通道堵塞、消防安全管理不符合要求等存在消防安全隐患的市场，责令市场产权单位或</w:t>
      </w:r>
      <w:r>
        <w:rPr>
          <w:rFonts w:hint="eastAsia"/>
          <w:szCs w:val="32"/>
        </w:rPr>
        <w:t>主办方</w:t>
      </w:r>
      <w:r>
        <w:rPr>
          <w:szCs w:val="32"/>
        </w:rPr>
        <w:t>进行整改完善。</w:t>
      </w:r>
    </w:p>
    <w:p w14:paraId="2978095C">
      <w:pPr>
        <w:spacing w:line="540" w:lineRule="exact"/>
        <w:ind w:firstLine="632" w:firstLineChars="200"/>
        <w:rPr>
          <w:szCs w:val="32"/>
        </w:rPr>
      </w:pPr>
      <w:r>
        <w:rPr>
          <w:rFonts w:eastAsia="黑体"/>
          <w:bCs/>
          <w:szCs w:val="32"/>
        </w:rPr>
        <w:t>11.</w:t>
      </w:r>
      <w:r>
        <w:rPr>
          <w:rFonts w:hint="eastAsia" w:eastAsia="黑体"/>
          <w:bCs/>
          <w:szCs w:val="32"/>
        </w:rPr>
        <w:t xml:space="preserve"> </w:t>
      </w:r>
      <w:r>
        <w:rPr>
          <w:rFonts w:eastAsia="黑体"/>
          <w:bCs/>
          <w:szCs w:val="32"/>
        </w:rPr>
        <w:t>消防部门：</w:t>
      </w:r>
      <w:r>
        <w:rPr>
          <w:szCs w:val="32"/>
        </w:rPr>
        <w:t>负责监管范围内重点农贸市场消防工作的指导和监管。对消防设施设置不符合规定、消防通道堵塞、消防安全管理不符合要求等存在消防安全隐患的市场，责令市场产权单位或</w:t>
      </w:r>
      <w:r>
        <w:rPr>
          <w:rFonts w:hint="eastAsia"/>
          <w:szCs w:val="32"/>
        </w:rPr>
        <w:t>主办方</w:t>
      </w:r>
      <w:r>
        <w:rPr>
          <w:szCs w:val="32"/>
        </w:rPr>
        <w:t>进行整改完善。</w:t>
      </w:r>
    </w:p>
    <w:p w14:paraId="129BD110">
      <w:pPr>
        <w:spacing w:line="540" w:lineRule="exact"/>
        <w:ind w:firstLine="632" w:firstLineChars="200"/>
        <w:rPr>
          <w:bCs/>
          <w:szCs w:val="32"/>
        </w:rPr>
      </w:pPr>
      <w:r>
        <w:rPr>
          <w:bCs/>
          <w:szCs w:val="32"/>
        </w:rPr>
        <w:t>12.其他相关部门在各自职责范围内做好农贸市场的监督管理工作。</w:t>
      </w:r>
    </w:p>
    <w:p w14:paraId="3C8A79EB">
      <w:pPr>
        <w:pStyle w:val="24"/>
        <w:spacing w:line="560" w:lineRule="exact"/>
        <w:rPr>
          <w:rFonts w:ascii="仿宋_GB2312" w:eastAsia="仿宋_GB2312"/>
          <w:sz w:val="32"/>
        </w:rPr>
      </w:pPr>
    </w:p>
    <w:p w14:paraId="7D75EE3A">
      <w:pPr>
        <w:pStyle w:val="24"/>
        <w:spacing w:line="560" w:lineRule="exact"/>
        <w:rPr>
          <w:rFonts w:ascii="仿宋_GB2312" w:eastAsia="仿宋_GB2312"/>
          <w:sz w:val="32"/>
        </w:rPr>
      </w:pPr>
    </w:p>
    <w:p w14:paraId="668DA705">
      <w:pPr>
        <w:pStyle w:val="24"/>
        <w:spacing w:line="560" w:lineRule="exact"/>
        <w:rPr>
          <w:rFonts w:ascii="仿宋_GB2312" w:eastAsia="仿宋_GB2312"/>
          <w:sz w:val="32"/>
        </w:rPr>
      </w:pPr>
    </w:p>
    <w:p w14:paraId="39A38BAE">
      <w:pPr>
        <w:pStyle w:val="24"/>
        <w:spacing w:line="560" w:lineRule="exact"/>
        <w:rPr>
          <w:rFonts w:ascii="仿宋_GB2312" w:eastAsia="仿宋_GB2312"/>
          <w:sz w:val="32"/>
        </w:rPr>
      </w:pPr>
    </w:p>
    <w:p w14:paraId="48F65DDE">
      <w:pPr>
        <w:pStyle w:val="24"/>
        <w:spacing w:line="560" w:lineRule="exact"/>
        <w:rPr>
          <w:rFonts w:ascii="仿宋_GB2312" w:eastAsia="仿宋_GB2312"/>
          <w:sz w:val="32"/>
        </w:rPr>
      </w:pPr>
    </w:p>
    <w:p w14:paraId="5709E41C">
      <w:pPr>
        <w:pStyle w:val="24"/>
        <w:spacing w:line="560" w:lineRule="exact"/>
        <w:rPr>
          <w:rFonts w:ascii="仿宋_GB2312" w:eastAsia="仿宋_GB2312"/>
          <w:sz w:val="32"/>
        </w:rPr>
      </w:pPr>
    </w:p>
    <w:p w14:paraId="5734CB6C">
      <w:pPr>
        <w:pStyle w:val="24"/>
        <w:spacing w:line="560" w:lineRule="exact"/>
        <w:rPr>
          <w:rFonts w:ascii="仿宋_GB2312" w:eastAsia="仿宋_GB2312"/>
          <w:sz w:val="32"/>
        </w:rPr>
      </w:pPr>
    </w:p>
    <w:p w14:paraId="235560E2">
      <w:pPr>
        <w:pStyle w:val="24"/>
        <w:spacing w:line="560" w:lineRule="exact"/>
        <w:rPr>
          <w:rFonts w:ascii="仿宋_GB2312" w:eastAsia="仿宋_GB2312"/>
          <w:sz w:val="32"/>
        </w:rPr>
      </w:pPr>
    </w:p>
    <w:p w14:paraId="6FD0B09A">
      <w:pPr>
        <w:pStyle w:val="24"/>
        <w:spacing w:line="560" w:lineRule="exact"/>
        <w:rPr>
          <w:rFonts w:ascii="仿宋_GB2312" w:eastAsia="仿宋_GB2312"/>
          <w:sz w:val="32"/>
        </w:rPr>
      </w:pPr>
    </w:p>
    <w:p w14:paraId="1ED0B334">
      <w:pPr>
        <w:pStyle w:val="24"/>
        <w:spacing w:line="560" w:lineRule="exact"/>
        <w:rPr>
          <w:rFonts w:ascii="仿宋_GB2312" w:eastAsia="仿宋_GB2312"/>
          <w:sz w:val="32"/>
        </w:rPr>
      </w:pPr>
    </w:p>
    <w:p w14:paraId="31B83E85">
      <w:pPr>
        <w:pStyle w:val="24"/>
        <w:spacing w:line="560" w:lineRule="exact"/>
        <w:rPr>
          <w:rFonts w:ascii="仿宋_GB2312" w:eastAsia="仿宋_GB2312"/>
          <w:sz w:val="32"/>
        </w:rPr>
      </w:pPr>
    </w:p>
    <w:p w14:paraId="54507CC8">
      <w:pPr>
        <w:pStyle w:val="24"/>
        <w:spacing w:line="560" w:lineRule="exact"/>
        <w:rPr>
          <w:rFonts w:ascii="仿宋_GB2312" w:eastAsia="仿宋_GB2312"/>
          <w:sz w:val="32"/>
        </w:rPr>
      </w:pPr>
    </w:p>
    <w:p w14:paraId="616B89D6">
      <w:pPr>
        <w:pStyle w:val="24"/>
        <w:spacing w:line="560" w:lineRule="exact"/>
        <w:rPr>
          <w:rFonts w:ascii="仿宋_GB2312" w:eastAsia="仿宋_GB2312"/>
          <w:sz w:val="32"/>
        </w:rPr>
      </w:pPr>
    </w:p>
    <w:p w14:paraId="4B5EB878">
      <w:pPr>
        <w:pStyle w:val="24"/>
        <w:spacing w:line="560" w:lineRule="exact"/>
        <w:rPr>
          <w:rFonts w:ascii="仿宋_GB2312" w:eastAsia="仿宋_GB2312"/>
          <w:sz w:val="32"/>
        </w:rPr>
      </w:pPr>
    </w:p>
    <w:p w14:paraId="468A815B">
      <w:pPr>
        <w:pStyle w:val="24"/>
        <w:spacing w:line="560" w:lineRule="exact"/>
        <w:rPr>
          <w:rFonts w:ascii="仿宋_GB2312" w:eastAsia="仿宋_GB2312"/>
          <w:sz w:val="32"/>
        </w:rPr>
      </w:pPr>
    </w:p>
    <w:p w14:paraId="4F5B6036">
      <w:pPr>
        <w:pStyle w:val="24"/>
        <w:spacing w:line="560" w:lineRule="exact"/>
        <w:rPr>
          <w:rFonts w:hint="eastAsia" w:ascii="仿宋_GB2312" w:eastAsia="仿宋_GB2312"/>
          <w:sz w:val="32"/>
        </w:rPr>
      </w:pPr>
    </w:p>
    <w:p w14:paraId="17600130">
      <w:pPr>
        <w:pStyle w:val="24"/>
        <w:spacing w:line="560" w:lineRule="exact"/>
        <w:rPr>
          <w:rFonts w:hint="eastAsia" w:ascii="仿宋_GB2312" w:eastAsia="仿宋_GB2312"/>
          <w:sz w:val="32"/>
        </w:rPr>
      </w:pPr>
    </w:p>
    <w:p w14:paraId="7D31E59A">
      <w:pPr>
        <w:pStyle w:val="24"/>
        <w:spacing w:line="560" w:lineRule="exact"/>
        <w:rPr>
          <w:rFonts w:ascii="仿宋_GB2312" w:eastAsia="仿宋_GB2312"/>
          <w:sz w:val="32"/>
        </w:rPr>
      </w:pPr>
    </w:p>
    <w:p w14:paraId="253D271E">
      <w:pPr>
        <w:pStyle w:val="24"/>
        <w:spacing w:line="560" w:lineRule="exact"/>
        <w:rPr>
          <w:rFonts w:ascii="仿宋_GB2312" w:eastAsia="仿宋_GB2312"/>
          <w:sz w:val="32"/>
        </w:rPr>
      </w:pPr>
    </w:p>
    <w:p w14:paraId="04FEFFC7">
      <w:pPr>
        <w:pStyle w:val="24"/>
        <w:spacing w:line="560" w:lineRule="exact"/>
        <w:rPr>
          <w:rFonts w:ascii="仿宋_GB2312" w:eastAsia="仿宋_GB2312"/>
          <w:sz w:val="32"/>
        </w:rPr>
      </w:pPr>
    </w:p>
    <w:p w14:paraId="0461D2E2">
      <w:pPr>
        <w:pStyle w:val="37"/>
        <w:widowControl w:val="0"/>
        <w:spacing w:line="200" w:lineRule="exact"/>
        <w:rPr>
          <w:rFonts w:ascii="Times New Roman" w:eastAsia="仿宋_GB2312"/>
          <w:sz w:val="30"/>
        </w:rPr>
      </w:pPr>
      <w:r>
        <w:rPr>
          <w:rFonts w:ascii="Times New Roman" w:eastAsia="仿宋_GB2312"/>
          <w:sz w:val="30"/>
        </w:rPr>
        <w:object>
          <v:shape id="_x0000_i1025" o:spt="75" type="#_x0000_t75" style="height:2.2pt;width:434.75pt;" o:ole="t" filled="f" o:preferrelative="t" stroked="f" coordsize="21600,21600">
            <v:path/>
            <v:fill on="f" focussize="0,0"/>
            <v:stroke on="f" joinstyle="miter"/>
            <v:imagedata r:id="rId10" o:title="0"/>
            <o:lock v:ext="edit" aspectratio="t"/>
            <w10:wrap type="none"/>
            <w10:anchorlock/>
          </v:shape>
          <o:OLEObject Type="Embed" ProgID="Excel.Sheet.8" ShapeID="_x0000_i1025" DrawAspect="Content" ObjectID="_1468075725" r:id="rId9">
            <o:LockedField>false</o:LockedField>
          </o:OLEObject>
        </w:object>
      </w:r>
    </w:p>
    <w:p w14:paraId="7544BF02">
      <w:pPr>
        <w:pStyle w:val="9"/>
        <w:spacing w:line="440" w:lineRule="exact"/>
        <w:ind w:left="1166" w:leftChars="107" w:hanging="828" w:hangingChars="300"/>
        <w:rPr>
          <w:color w:val="000000"/>
          <w:spacing w:val="4"/>
          <w:sz w:val="28"/>
          <w:szCs w:val="28"/>
        </w:rPr>
      </w:pPr>
      <w:r>
        <w:rPr>
          <w:sz w:val="28"/>
          <w:szCs w:val="28"/>
        </w:rPr>
        <w:t>抄送：</w:t>
      </w:r>
      <w:r>
        <w:rPr>
          <w:color w:val="000000"/>
          <w:spacing w:val="4"/>
          <w:sz w:val="28"/>
          <w:szCs w:val="28"/>
        </w:rPr>
        <w:t>市委各部门，市人大常委会办公室，市政协办公室，市纪委</w:t>
      </w:r>
    </w:p>
    <w:p w14:paraId="02CA7BD8">
      <w:pPr>
        <w:pStyle w:val="9"/>
        <w:spacing w:line="440" w:lineRule="exact"/>
        <w:ind w:left="1200" w:leftChars="380" w:firstLine="0"/>
        <w:rPr>
          <w:color w:val="000000"/>
          <w:sz w:val="28"/>
          <w:szCs w:val="28"/>
        </w:rPr>
      </w:pPr>
      <w:r>
        <w:rPr>
          <w:color w:val="000000"/>
          <w:sz w:val="28"/>
          <w:szCs w:val="28"/>
        </w:rPr>
        <w:t>监委，市法院，市检察院，连云港警备区。</w:t>
      </w:r>
    </w:p>
    <w:p w14:paraId="0CEC1077">
      <w:pPr>
        <w:pStyle w:val="37"/>
        <w:widowControl w:val="0"/>
        <w:spacing w:line="200" w:lineRule="exact"/>
        <w:rPr>
          <w:rFonts w:ascii="Times New Roman" w:eastAsia="仿宋_GB2312"/>
          <w:sz w:val="28"/>
          <w:szCs w:val="28"/>
        </w:rPr>
      </w:pPr>
      <w:r>
        <w:rPr>
          <w:rFonts w:ascii="Times New Roman" w:eastAsia="仿宋_GB2312"/>
          <w:sz w:val="28"/>
          <w:szCs w:val="28"/>
        </w:rPr>
        <w:object>
          <v:shape id="_x0000_i1026" o:spt="75" type="#_x0000_t75" style="height:2.2pt;width:434.75pt;" o:ole="t" filled="f" o:preferrelative="t" stroked="f" coordsize="21600,21600">
            <v:path/>
            <v:fill on="f" focussize="0,0"/>
            <v:stroke on="f" joinstyle="miter"/>
            <v:imagedata r:id="rId10" o:title="0"/>
            <o:lock v:ext="edit" aspectratio="t"/>
            <w10:wrap type="none"/>
            <w10:anchorlock/>
          </v:shape>
          <o:OLEObject Type="Embed" ProgID="Excel.Sheet.8" ShapeID="_x0000_i1026" DrawAspect="Content" ObjectID="_1468075726" r:id="rId11">
            <o:LockedField>false</o:LockedField>
          </o:OLEObject>
        </w:object>
      </w:r>
    </w:p>
    <w:p w14:paraId="232A840F">
      <w:pPr>
        <w:spacing w:line="100" w:lineRule="exact"/>
        <w:ind w:firstLine="276" w:firstLineChars="100"/>
        <w:rPr>
          <w:sz w:val="28"/>
          <w:szCs w:val="28"/>
        </w:rPr>
      </w:pPr>
    </w:p>
    <w:p w14:paraId="5F98B8CA">
      <w:pPr>
        <w:spacing w:line="300" w:lineRule="exact"/>
        <w:ind w:firstLine="276" w:firstLineChars="100"/>
        <w:rPr>
          <w:sz w:val="28"/>
          <w:szCs w:val="28"/>
        </w:rPr>
      </w:pPr>
      <w:r>
        <w:rPr>
          <w:sz w:val="28"/>
          <w:szCs w:val="28"/>
        </w:rPr>
        <w:t>连云港市人民政府办公室</w:t>
      </w:r>
      <w:r>
        <w:rPr>
          <w:sz w:val="28"/>
          <w:szCs w:val="28"/>
        </w:rPr>
        <w:tab/>
      </w:r>
      <w:r>
        <w:rPr>
          <w:sz w:val="28"/>
          <w:szCs w:val="28"/>
        </w:rPr>
        <w:t xml:space="preserve">            </w:t>
      </w:r>
      <w:r>
        <w:rPr>
          <w:rFonts w:hint="eastAsia"/>
          <w:sz w:val="28"/>
          <w:szCs w:val="28"/>
        </w:rPr>
        <w:t xml:space="preserve">   </w:t>
      </w:r>
      <w:r>
        <w:rPr>
          <w:sz w:val="28"/>
          <w:szCs w:val="28"/>
        </w:rPr>
        <w:t xml:space="preserve">   20</w:t>
      </w:r>
      <w:r>
        <w:rPr>
          <w:rFonts w:hint="eastAsia"/>
          <w:sz w:val="28"/>
          <w:szCs w:val="28"/>
        </w:rPr>
        <w:t>24</w:t>
      </w:r>
      <w:r>
        <w:rPr>
          <w:sz w:val="28"/>
          <w:szCs w:val="28"/>
        </w:rPr>
        <w:t>年</w:t>
      </w:r>
      <w:r>
        <w:rPr>
          <w:rFonts w:hint="eastAsia"/>
          <w:sz w:val="28"/>
          <w:szCs w:val="28"/>
        </w:rPr>
        <w:t>6</w:t>
      </w:r>
      <w:r>
        <w:rPr>
          <w:sz w:val="28"/>
          <w:szCs w:val="28"/>
        </w:rPr>
        <w:t>月</w:t>
      </w:r>
      <w:r>
        <w:rPr>
          <w:rFonts w:hint="eastAsia"/>
          <w:sz w:val="28"/>
          <w:szCs w:val="28"/>
        </w:rPr>
        <w:t>6</w:t>
      </w:r>
      <w:r>
        <w:rPr>
          <w:sz w:val="28"/>
          <w:szCs w:val="28"/>
        </w:rPr>
        <w:t>日印发</w:t>
      </w:r>
    </w:p>
    <w:p w14:paraId="7C6F7C44">
      <w:pPr>
        <w:spacing w:line="320" w:lineRule="exact"/>
        <w:ind w:firstLine="0"/>
        <w:jc w:val="center"/>
        <w:rPr>
          <w:color w:val="000000"/>
          <w:szCs w:val="32"/>
        </w:rPr>
      </w:pPr>
      <w:r>
        <w:rPr>
          <w:sz w:val="28"/>
          <w:szCs w:val="28"/>
        </w:rPr>
        <w:object>
          <v:shape id="_x0000_i1027" o:spt="75" type="#_x0000_t75" style="height:2.2pt;width:434.75pt;" o:ole="t" filled="f" o:preferrelative="t" stroked="f" coordsize="21600,21600">
            <v:path/>
            <v:fill on="f" focussize="0,0"/>
            <v:stroke on="f" joinstyle="miter"/>
            <v:imagedata r:id="rId10" o:title="0"/>
            <o:lock v:ext="edit" aspectratio="t"/>
            <w10:wrap type="none"/>
            <w10:anchorlock/>
          </v:shape>
          <o:OLEObject Type="Embed" ProgID="Excel.Sheet.8" ShapeID="_x0000_i1027" DrawAspect="Content" ObjectID="_1468075727" r:id="rId12">
            <o:LockedField>false</o:LockedField>
          </o:OLEObject>
        </w:object>
      </w:r>
    </w:p>
    <w:p w14:paraId="3061CB38">
      <w:pPr>
        <w:pStyle w:val="24"/>
        <w:spacing w:line="20" w:lineRule="exact"/>
      </w:pPr>
    </w:p>
    <w:sectPr>
      <w:headerReference r:id="rId5" w:type="default"/>
      <w:footerReference r:id="rId6" w:type="default"/>
      <w:footerReference r:id="rId7" w:type="even"/>
      <w:pgSz w:w="11906" w:h="16838"/>
      <w:pgMar w:top="2098" w:right="1474" w:bottom="1985" w:left="1588" w:header="851" w:footer="1588"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冼极">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汉鼎简大宋">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8B3A">
    <w:pPr>
      <w:pStyle w:val="13"/>
      <w:ind w:right="339" w:firstLine="0"/>
      <w:jc w:val="right"/>
      <w:rPr>
        <w:sz w:val="28"/>
      </w:rPr>
    </w:pPr>
    <w:r>
      <w:rPr>
        <w:rStyle w:val="21"/>
        <w:rFonts w:hint="eastAsia"/>
        <w:sz w:val="28"/>
      </w:rPr>
      <w:t>—</w:t>
    </w:r>
    <w:r>
      <w:rPr>
        <w:sz w:val="28"/>
      </w:rPr>
      <w:fldChar w:fldCharType="begin"/>
    </w:r>
    <w:r>
      <w:rPr>
        <w:rStyle w:val="21"/>
        <w:sz w:val="28"/>
      </w:rPr>
      <w:instrText xml:space="preserve"> PAGE </w:instrText>
    </w:r>
    <w:r>
      <w:rPr>
        <w:sz w:val="28"/>
      </w:rPr>
      <w:fldChar w:fldCharType="separate"/>
    </w:r>
    <w:r>
      <w:rPr>
        <w:rStyle w:val="21"/>
        <w:sz w:val="28"/>
      </w:rPr>
      <w:t>9</w:t>
    </w:r>
    <w:r>
      <w:rPr>
        <w:sz w:val="28"/>
      </w:rPr>
      <w:fldChar w:fldCharType="end"/>
    </w:r>
    <w:r>
      <w:rPr>
        <w:rStyle w:val="2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8A81">
    <w:pPr>
      <w:pStyle w:val="13"/>
      <w:ind w:firstLine="0"/>
      <w:rPr>
        <w:sz w:val="28"/>
      </w:rPr>
    </w:pPr>
    <w:r>
      <w:rPr>
        <w:rFonts w:hint="eastAsia"/>
        <w:sz w:val="28"/>
      </w:rPr>
      <w:t xml:space="preserve">  —</w:t>
    </w:r>
    <w:r>
      <w:rPr>
        <w:sz w:val="28"/>
      </w:rPr>
      <w:fldChar w:fldCharType="begin"/>
    </w:r>
    <w:r>
      <w:rPr>
        <w:rStyle w:val="21"/>
        <w:sz w:val="28"/>
      </w:rPr>
      <w:instrText xml:space="preserve"> PAGE </w:instrText>
    </w:r>
    <w:r>
      <w:rPr>
        <w:sz w:val="28"/>
      </w:rPr>
      <w:fldChar w:fldCharType="separate"/>
    </w:r>
    <w:r>
      <w:rPr>
        <w:rStyle w:val="21"/>
        <w:sz w:val="28"/>
      </w:rPr>
      <w:t>10</w:t>
    </w:r>
    <w:r>
      <w:rPr>
        <w:sz w:val="28"/>
      </w:rPr>
      <w:fldChar w:fldCharType="end"/>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D8D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58"/>
  <w:drawingGridVerticalSpacing w:val="579"/>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WUzOTQ4ZTc5OWEwYTg1MzRkNDBkZjFjNjdiOTEifQ=="/>
  </w:docVars>
  <w:rsids>
    <w:rsidRoot w:val="00A3624A"/>
    <w:rsid w:val="0001255F"/>
    <w:rsid w:val="0001295D"/>
    <w:rsid w:val="000363DE"/>
    <w:rsid w:val="0006339E"/>
    <w:rsid w:val="000D1F28"/>
    <w:rsid w:val="00103A8E"/>
    <w:rsid w:val="00117674"/>
    <w:rsid w:val="00173F6D"/>
    <w:rsid w:val="00191A5E"/>
    <w:rsid w:val="001D4A70"/>
    <w:rsid w:val="00242FE6"/>
    <w:rsid w:val="00295197"/>
    <w:rsid w:val="002D3FE6"/>
    <w:rsid w:val="00307250"/>
    <w:rsid w:val="003351D2"/>
    <w:rsid w:val="00397D1F"/>
    <w:rsid w:val="003A6711"/>
    <w:rsid w:val="003C2BEE"/>
    <w:rsid w:val="003C6F56"/>
    <w:rsid w:val="003D0D98"/>
    <w:rsid w:val="003F24B2"/>
    <w:rsid w:val="004137D6"/>
    <w:rsid w:val="00445DDF"/>
    <w:rsid w:val="0045675E"/>
    <w:rsid w:val="0047709E"/>
    <w:rsid w:val="004773AD"/>
    <w:rsid w:val="004B1007"/>
    <w:rsid w:val="004D182E"/>
    <w:rsid w:val="004D3B47"/>
    <w:rsid w:val="004E5746"/>
    <w:rsid w:val="00507331"/>
    <w:rsid w:val="00553E53"/>
    <w:rsid w:val="00563E84"/>
    <w:rsid w:val="005A6DE0"/>
    <w:rsid w:val="005F4D07"/>
    <w:rsid w:val="006012D8"/>
    <w:rsid w:val="00635B15"/>
    <w:rsid w:val="006477CB"/>
    <w:rsid w:val="006B513D"/>
    <w:rsid w:val="007224E4"/>
    <w:rsid w:val="007F0061"/>
    <w:rsid w:val="008033AC"/>
    <w:rsid w:val="0081404A"/>
    <w:rsid w:val="00836709"/>
    <w:rsid w:val="00842FE1"/>
    <w:rsid w:val="008C0B1E"/>
    <w:rsid w:val="009056E2"/>
    <w:rsid w:val="00910B07"/>
    <w:rsid w:val="00922DD8"/>
    <w:rsid w:val="00924C1B"/>
    <w:rsid w:val="00960862"/>
    <w:rsid w:val="00984691"/>
    <w:rsid w:val="00A01EF7"/>
    <w:rsid w:val="00A3624A"/>
    <w:rsid w:val="00A93930"/>
    <w:rsid w:val="00A968CF"/>
    <w:rsid w:val="00AF1223"/>
    <w:rsid w:val="00B03CF6"/>
    <w:rsid w:val="00B12A64"/>
    <w:rsid w:val="00B33841"/>
    <w:rsid w:val="00B33C1F"/>
    <w:rsid w:val="00B60639"/>
    <w:rsid w:val="00B82F6C"/>
    <w:rsid w:val="00BB004E"/>
    <w:rsid w:val="00BE2EB6"/>
    <w:rsid w:val="00C1077D"/>
    <w:rsid w:val="00C51F83"/>
    <w:rsid w:val="00C708E0"/>
    <w:rsid w:val="00CE7B65"/>
    <w:rsid w:val="00CF5604"/>
    <w:rsid w:val="00D3327A"/>
    <w:rsid w:val="00D77461"/>
    <w:rsid w:val="00D92820"/>
    <w:rsid w:val="00D92842"/>
    <w:rsid w:val="00DF3767"/>
    <w:rsid w:val="00E212A2"/>
    <w:rsid w:val="00E500E9"/>
    <w:rsid w:val="00E568B3"/>
    <w:rsid w:val="00E778D8"/>
    <w:rsid w:val="00E84F51"/>
    <w:rsid w:val="00ED335D"/>
    <w:rsid w:val="00ED7515"/>
    <w:rsid w:val="00F062D3"/>
    <w:rsid w:val="00F574FD"/>
    <w:rsid w:val="00FA3BC3"/>
    <w:rsid w:val="00FB14E3"/>
    <w:rsid w:val="00FD4929"/>
    <w:rsid w:val="0BD30725"/>
    <w:rsid w:val="2752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ind w:firstLine="0"/>
      <w:jc w:val="center"/>
      <w:outlineLvl w:val="0"/>
    </w:pPr>
    <w:rPr>
      <w:rFonts w:eastAsia="宋体"/>
      <w:b/>
      <w:kern w:val="44"/>
      <w:sz w:val="44"/>
    </w:rPr>
  </w:style>
  <w:style w:type="paragraph" w:styleId="5">
    <w:name w:val="heading 2"/>
    <w:basedOn w:val="1"/>
    <w:next w:val="1"/>
    <w:qFormat/>
    <w:uiPriority w:val="0"/>
    <w:pPr>
      <w:keepNext/>
      <w:keepLines/>
      <w:ind w:firstLine="0"/>
      <w:jc w:val="center"/>
      <w:outlineLvl w:val="1"/>
    </w:pPr>
    <w:rPr>
      <w:rFonts w:ascii="Arial" w:hAnsi="Arial" w:eastAsia="楷体_GB2312"/>
    </w:rPr>
  </w:style>
  <w:style w:type="paragraph" w:styleId="6">
    <w:name w:val="heading 3"/>
    <w:basedOn w:val="1"/>
    <w:next w:val="7"/>
    <w:qFormat/>
    <w:uiPriority w:val="0"/>
    <w:pPr>
      <w:keepNext/>
      <w:keepLines/>
      <w:spacing w:before="260" w:after="260" w:line="415" w:lineRule="auto"/>
      <w:outlineLvl w:val="2"/>
    </w:pPr>
    <w:rPr>
      <w:b/>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47"/>
    <w:uiPriority w:val="0"/>
    <w:pPr>
      <w:ind w:firstLine="420" w:firstLineChars="100"/>
    </w:pPr>
  </w:style>
  <w:style w:type="paragraph" w:styleId="3">
    <w:name w:val="Body Text"/>
    <w:basedOn w:val="1"/>
    <w:link w:val="46"/>
    <w:uiPriority w:val="0"/>
    <w:pPr>
      <w:spacing w:after="120"/>
    </w:pPr>
  </w:style>
  <w:style w:type="paragraph" w:styleId="7">
    <w:name w:val="Normal Indent"/>
    <w:basedOn w:val="1"/>
    <w:uiPriority w:val="0"/>
    <w:pPr>
      <w:ind w:firstLine="420"/>
    </w:pPr>
  </w:style>
  <w:style w:type="paragraph" w:styleId="8">
    <w:name w:val="Document Map"/>
    <w:basedOn w:val="1"/>
    <w:uiPriority w:val="0"/>
    <w:pPr>
      <w:shd w:val="clear" w:color="auto" w:fill="000080"/>
    </w:pPr>
  </w:style>
  <w:style w:type="paragraph" w:styleId="9">
    <w:name w:val="Body Text Indent"/>
    <w:basedOn w:val="1"/>
    <w:uiPriority w:val="0"/>
    <w:pPr>
      <w:ind w:left="1120" w:hanging="1120"/>
    </w:pPr>
  </w:style>
  <w:style w:type="paragraph" w:styleId="10">
    <w:name w:val="Plain Text"/>
    <w:basedOn w:val="1"/>
    <w:uiPriority w:val="0"/>
    <w:pPr>
      <w:spacing w:line="240" w:lineRule="auto"/>
      <w:ind w:firstLine="0"/>
    </w:pPr>
    <w:rPr>
      <w:rFonts w:ascii="宋体" w:eastAsia="宋体" w:cs="Courier New"/>
      <w:color w:val="000000"/>
      <w:kern w:val="0"/>
      <w:sz w:val="21"/>
      <w:szCs w:val="21"/>
    </w:rPr>
  </w:style>
  <w:style w:type="paragraph" w:styleId="11">
    <w:name w:val="Date"/>
    <w:basedOn w:val="1"/>
    <w:next w:val="1"/>
    <w:uiPriority w:val="0"/>
    <w:pPr>
      <w:ind w:left="2500" w:leftChars="2500"/>
    </w:pPr>
  </w:style>
  <w:style w:type="paragraph" w:styleId="12">
    <w:name w:val="Balloon Text"/>
    <w:basedOn w:val="1"/>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iPriority w:val="0"/>
    <w:pPr>
      <w:pBdr>
        <w:bottom w:val="single" w:color="auto" w:sz="6" w:space="1"/>
      </w:pBdr>
      <w:tabs>
        <w:tab w:val="center" w:pos="4153"/>
        <w:tab w:val="right" w:pos="8306"/>
      </w:tabs>
      <w:snapToGrid w:val="0"/>
      <w:jc w:val="center"/>
    </w:pPr>
    <w:rPr>
      <w:sz w:val="18"/>
    </w:rPr>
  </w:style>
  <w:style w:type="paragraph" w:styleId="15">
    <w:name w:val="Normal (Web)"/>
    <w:basedOn w:val="1"/>
    <w:uiPriority w:val="0"/>
    <w:pPr>
      <w:widowControl/>
      <w:spacing w:before="100" w:beforeAutospacing="1" w:after="100" w:afterAutospacing="1" w:line="280" w:lineRule="atLeast"/>
      <w:ind w:firstLine="0"/>
      <w:jc w:val="left"/>
    </w:pPr>
    <w:rPr>
      <w:rFonts w:ascii="ˎ̥" w:hAnsi="ˎ̥" w:eastAsia="宋体" w:cs="宋体"/>
      <w:kern w:val="0"/>
      <w:sz w:val="20"/>
    </w:rPr>
  </w:style>
  <w:style w:type="paragraph" w:styleId="16">
    <w:name w:val="Title"/>
    <w:basedOn w:val="1"/>
    <w:next w:val="1"/>
    <w:qFormat/>
    <w:uiPriority w:val="0"/>
    <w:pPr>
      <w:spacing w:before="240" w:after="60" w:line="240" w:lineRule="auto"/>
      <w:ind w:firstLine="0"/>
      <w:jc w:val="center"/>
      <w:outlineLvl w:val="0"/>
    </w:pPr>
    <w:rPr>
      <w:rFonts w:ascii="Cambria" w:hAnsi="Cambria" w:eastAsia="宋体"/>
      <w:b/>
      <w:bCs/>
      <w:kern w:val="0"/>
      <w:szCs w:val="32"/>
    </w:rPr>
  </w:style>
  <w:style w:type="paragraph" w:styleId="17">
    <w:name w:val="Body Text First Indent 2"/>
    <w:basedOn w:val="9"/>
    <w:next w:val="1"/>
    <w:uiPriority w:val="0"/>
    <w:pPr>
      <w:spacing w:after="120"/>
      <w:ind w:left="200" w:leftChars="200" w:firstLine="200" w:firstLineChars="200"/>
    </w:pPr>
  </w:style>
  <w:style w:type="character" w:styleId="20">
    <w:name w:val="Strong"/>
    <w:qFormat/>
    <w:uiPriority w:val="0"/>
    <w:rPr>
      <w:b/>
      <w:bCs/>
    </w:rPr>
  </w:style>
  <w:style w:type="character" w:styleId="21">
    <w:name w:val="page number"/>
    <w:uiPriority w:val="0"/>
  </w:style>
  <w:style w:type="character" w:styleId="22">
    <w:name w:val="Emphasis"/>
    <w:qFormat/>
    <w:uiPriority w:val="0"/>
    <w:rPr>
      <w:i/>
      <w:iCs/>
    </w:rPr>
  </w:style>
  <w:style w:type="character" w:styleId="23">
    <w:name w:val="Hyperlink"/>
    <w:uiPriority w:val="0"/>
    <w:rPr>
      <w:color w:val="0000FF"/>
      <w:u w:val="single"/>
    </w:rPr>
  </w:style>
  <w:style w:type="paragraph" w:customStyle="1" w:styleId="2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汇编标题"/>
    <w:basedOn w:val="4"/>
    <w:uiPriority w:val="0"/>
    <w:pPr>
      <w:spacing w:before="340" w:after="330" w:line="578" w:lineRule="auto"/>
    </w:pPr>
    <w:rPr>
      <w:rFonts w:eastAsia="方正小标宋_GBK"/>
      <w:b w:val="0"/>
      <w:bCs/>
      <w:sz w:val="32"/>
      <w:szCs w:val="44"/>
    </w:rPr>
  </w:style>
  <w:style w:type="paragraph" w:customStyle="1" w:styleId="26">
    <w:name w:val="抄送栏"/>
    <w:basedOn w:val="1"/>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7">
    <w:name w:val="p0"/>
    <w:basedOn w:val="1"/>
    <w:uiPriority w:val="0"/>
    <w:pPr>
      <w:widowControl/>
      <w:spacing w:line="240" w:lineRule="auto"/>
      <w:ind w:firstLine="0"/>
    </w:pPr>
    <w:rPr>
      <w:rFonts w:eastAsia="宋体"/>
      <w:kern w:val="0"/>
      <w:sz w:val="21"/>
      <w:szCs w:val="21"/>
    </w:rPr>
  </w:style>
  <w:style w:type="paragraph" w:customStyle="1" w:styleId="28">
    <w:name w:val="标题1"/>
    <w:basedOn w:val="1"/>
    <w:next w:val="1"/>
    <w:uiPriority w:val="0"/>
    <w:pPr>
      <w:tabs>
        <w:tab w:val="left" w:pos="9193"/>
        <w:tab w:val="left" w:pos="9827"/>
      </w:tabs>
      <w:autoSpaceDE w:val="0"/>
      <w:autoSpaceDN w:val="0"/>
      <w:snapToGrid w:val="0"/>
      <w:spacing w:line="640" w:lineRule="atLeast"/>
      <w:ind w:firstLine="0"/>
      <w:jc w:val="center"/>
    </w:pPr>
    <w:rPr>
      <w:rFonts w:eastAsia="方正小标宋_GBK"/>
      <w:snapToGrid w:val="0"/>
      <w:kern w:val="0"/>
      <w:sz w:val="44"/>
    </w:rPr>
  </w:style>
  <w:style w:type="paragraph" w:styleId="29">
    <w:name w:val="List Paragraph"/>
    <w:basedOn w:val="1"/>
    <w:qFormat/>
    <w:uiPriority w:val="0"/>
    <w:pPr>
      <w:spacing w:line="240" w:lineRule="auto"/>
      <w:ind w:firstLine="200" w:firstLineChars="200"/>
    </w:pPr>
    <w:rPr>
      <w:rFonts w:ascii="Calibri" w:hAnsi="Calibri" w:eastAsia="宋体"/>
      <w:sz w:val="21"/>
      <w:szCs w:val="22"/>
    </w:rPr>
  </w:style>
  <w:style w:type="paragraph" w:customStyle="1" w:styleId="30">
    <w:name w:val="印数"/>
    <w:basedOn w:val="31"/>
    <w:uiPriority w:val="0"/>
    <w:pPr>
      <w:tabs>
        <w:tab w:val="left" w:pos="284"/>
        <w:tab w:val="left" w:pos="5387"/>
      </w:tabs>
      <w:jc w:val="right"/>
    </w:pPr>
  </w:style>
  <w:style w:type="paragraph" w:customStyle="1" w:styleId="31">
    <w:name w:val="印发栏"/>
    <w:basedOn w:val="1"/>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32">
    <w:name w:val="Char Char Char"/>
    <w:basedOn w:val="1"/>
    <w:uiPriority w:val="0"/>
    <w:pPr>
      <w:spacing w:line="240" w:lineRule="auto"/>
      <w:ind w:firstLine="0"/>
    </w:pPr>
    <w:rPr>
      <w:rFonts w:ascii="Tahoma" w:hAnsi="Tahoma" w:eastAsia="宋体"/>
      <w:sz w:val="24"/>
    </w:rPr>
  </w:style>
  <w:style w:type="paragraph" w:customStyle="1" w:styleId="33">
    <w:name w:val="主题词"/>
    <w:basedOn w:val="1"/>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34">
    <w:name w:val="Char"/>
    <w:basedOn w:val="8"/>
    <w:uiPriority w:val="0"/>
    <w:pPr>
      <w:spacing w:line="240" w:lineRule="auto"/>
      <w:ind w:firstLine="0"/>
    </w:pPr>
    <w:rPr>
      <w:rFonts w:eastAsia="宋体"/>
      <w:sz w:val="21"/>
      <w:szCs w:val="24"/>
    </w:rPr>
  </w:style>
  <w:style w:type="paragraph" w:customStyle="1" w:styleId="35">
    <w:name w:val="主送单位"/>
    <w:basedOn w:val="1"/>
    <w:uiPriority w:val="0"/>
    <w:pPr>
      <w:widowControl/>
      <w:autoSpaceDE w:val="0"/>
      <w:autoSpaceDN w:val="0"/>
      <w:adjustRightInd w:val="0"/>
      <w:ind w:firstLine="0"/>
    </w:pPr>
    <w:rPr>
      <w:rFonts w:ascii="溘冼_GB2312" w:eastAsia="溘冼_GB2312"/>
      <w:spacing w:val="-4"/>
      <w:kern w:val="0"/>
    </w:rPr>
  </w:style>
  <w:style w:type="paragraph" w:customStyle="1" w:styleId="36">
    <w:name w:val="Char1"/>
    <w:basedOn w:val="1"/>
    <w:uiPriority w:val="0"/>
    <w:pPr>
      <w:widowControl/>
      <w:spacing w:after="160" w:line="240" w:lineRule="exact"/>
      <w:ind w:firstLine="0"/>
      <w:jc w:val="left"/>
    </w:pPr>
    <w:rPr>
      <w:rFonts w:eastAsia="宋体"/>
      <w:sz w:val="21"/>
      <w:szCs w:val="24"/>
    </w:rPr>
  </w:style>
  <w:style w:type="paragraph" w:customStyle="1" w:styleId="37">
    <w:name w:val="线型"/>
    <w:basedOn w:val="1"/>
    <w:uiPriority w:val="0"/>
    <w:pPr>
      <w:widowControl/>
      <w:autoSpaceDE w:val="0"/>
      <w:autoSpaceDN w:val="0"/>
      <w:adjustRightInd w:val="0"/>
      <w:spacing w:line="240" w:lineRule="auto"/>
      <w:ind w:firstLine="0"/>
      <w:jc w:val="center"/>
    </w:pPr>
    <w:rPr>
      <w:rFonts w:ascii="溘冼_GB2312" w:eastAsia="溘冼_GB2312"/>
      <w:kern w:val="0"/>
      <w:sz w:val="21"/>
    </w:rPr>
  </w:style>
  <w:style w:type="character" w:customStyle="1" w:styleId="38">
    <w:name w:val="font181"/>
    <w:uiPriority w:val="0"/>
    <w:rPr>
      <w:rFonts w:ascii="黑体" w:eastAsia="黑体" w:cs="黑体"/>
      <w:color w:val="000000"/>
      <w:sz w:val="32"/>
      <w:szCs w:val="32"/>
      <w:u w:val="none"/>
      <w:lang w:bidi="ar-SA"/>
    </w:rPr>
  </w:style>
  <w:style w:type="character" w:customStyle="1" w:styleId="39">
    <w:name w:val="font231"/>
    <w:uiPriority w:val="0"/>
    <w:rPr>
      <w:rFonts w:ascii="Times New Roman" w:hAnsi="Times New Roman" w:cs="Times New Roman"/>
      <w:color w:val="000000"/>
      <w:sz w:val="28"/>
      <w:szCs w:val="28"/>
      <w:u w:val="none"/>
      <w:lang w:bidi="ar-SA"/>
    </w:rPr>
  </w:style>
  <w:style w:type="character" w:customStyle="1" w:styleId="40">
    <w:name w:val="font161"/>
    <w:uiPriority w:val="0"/>
    <w:rPr>
      <w:rFonts w:ascii="Times New Roman" w:hAnsi="Times New Roman" w:cs="Times New Roman"/>
      <w:color w:val="000000"/>
      <w:sz w:val="28"/>
      <w:szCs w:val="28"/>
      <w:u w:val="none"/>
      <w:lang w:bidi="ar-SA"/>
    </w:rPr>
  </w:style>
  <w:style w:type="character" w:customStyle="1" w:styleId="41">
    <w:name w:val="font151"/>
    <w:uiPriority w:val="0"/>
    <w:rPr>
      <w:rFonts w:ascii="Times New Roman" w:hAnsi="Times New Roman" w:cs="Times New Roman"/>
      <w:color w:val="000000"/>
      <w:sz w:val="28"/>
      <w:szCs w:val="28"/>
      <w:u w:val="none"/>
      <w:lang w:bidi="ar-SA"/>
    </w:rPr>
  </w:style>
  <w:style w:type="character" w:customStyle="1" w:styleId="42">
    <w:name w:val="font221"/>
    <w:uiPriority w:val="0"/>
    <w:rPr>
      <w:rFonts w:ascii="宋体" w:eastAsia="宋体" w:cs="宋体"/>
      <w:color w:val="000000"/>
      <w:sz w:val="28"/>
      <w:szCs w:val="28"/>
      <w:u w:val="none"/>
      <w:lang w:bidi="ar-SA"/>
    </w:rPr>
  </w:style>
  <w:style w:type="character" w:customStyle="1" w:styleId="43">
    <w:name w:val="NormalCharacter"/>
    <w:uiPriority w:val="0"/>
    <w:rPr>
      <w:rFonts w:ascii="Calibri" w:hAnsi="Calibri" w:eastAsia="宋体"/>
    </w:rPr>
  </w:style>
  <w:style w:type="paragraph" w:customStyle="1" w:styleId="44">
    <w:name w:val="Body text|1"/>
    <w:basedOn w:val="1"/>
    <w:uiPriority w:val="0"/>
    <w:pPr>
      <w:spacing w:line="393" w:lineRule="auto"/>
      <w:ind w:firstLine="400"/>
    </w:pPr>
    <w:rPr>
      <w:rFonts w:ascii="宋体" w:eastAsia="宋体" w:cs="宋体"/>
      <w:sz w:val="30"/>
      <w:szCs w:val="30"/>
      <w:lang w:val="zh-TW" w:eastAsia="zh-TW" w:bidi="zh-TW"/>
    </w:rPr>
  </w:style>
  <w:style w:type="paragraph" w:customStyle="1" w:styleId="45">
    <w:name w:val="文头"/>
    <w:basedOn w:val="1"/>
    <w:uiPriority w:val="0"/>
    <w:pPr>
      <w:tabs>
        <w:tab w:val="left" w:pos="6663"/>
      </w:tabs>
      <w:autoSpaceDE w:val="0"/>
      <w:autoSpaceDN w:val="0"/>
      <w:snapToGrid w:val="0"/>
      <w:spacing w:after="800" w:line="1500" w:lineRule="atLeast"/>
      <w:ind w:left="510" w:right="227" w:hanging="284"/>
      <w:jc w:val="distribute"/>
    </w:pPr>
    <w:rPr>
      <w:rFonts w:ascii="汉鼎简大宋" w:eastAsia="汉鼎简大宋"/>
      <w:b/>
      <w:color w:val="FF0000"/>
      <w:w w:val="62"/>
      <w:kern w:val="0"/>
      <w:sz w:val="140"/>
    </w:rPr>
  </w:style>
  <w:style w:type="character" w:customStyle="1" w:styleId="46">
    <w:name w:val="正文文本 Char"/>
    <w:basedOn w:val="19"/>
    <w:link w:val="3"/>
    <w:uiPriority w:val="0"/>
    <w:rPr>
      <w:rFonts w:eastAsia="仿宋_GB2312"/>
      <w:kern w:val="2"/>
      <w:sz w:val="32"/>
    </w:rPr>
  </w:style>
  <w:style w:type="character" w:customStyle="1" w:styleId="47">
    <w:name w:val="正文首行缩进 Char"/>
    <w:basedOn w:val="46"/>
    <w:link w:val="2"/>
    <w:uiPriority w:val="0"/>
    <w:rPr>
      <w:rFonts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sy27</Company>
  <Pages>10</Pages>
  <Words>4461</Words>
  <Characters>4509</Characters>
  <Lines>33</Lines>
  <Paragraphs>9</Paragraphs>
  <TotalTime>0</TotalTime>
  <ScaleCrop>false</ScaleCrop>
  <LinksUpToDate>false</LinksUpToDate>
  <CharactersWithSpaces>4549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2024-06-07T01:55:00Z</dcterms:created>
  <dc:creator>王斌</dc:creator>
  <dc:description>该文件附带有冀慎华编写的反宏病毒程序(v33).</dc:description>
  <cp:lastModifiedBy>旺旺</cp:lastModifiedBy>
  <cp:lastPrinted>2024-06-07T01:56:00Z</cp:lastPrinted>
  <dcterms:modified xsi:type="dcterms:W3CDTF">2024-12-12T01:37:47Z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5B32D04B619D4360991808A46408A36B</vt:lpwstr>
  </property>
</Properties>
</file>