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05E2B">
      <w:pPr>
        <w:pStyle w:val="11"/>
        <w:rPr>
          <w:rFonts w:hint="eastAsia" w:hAnsi="黑体" w:cs="黑体"/>
          <w:lang w:val="en-US" w:eastAsia="zh-CN"/>
        </w:rPr>
      </w:pPr>
      <w:bookmarkStart w:id="0" w:name="DT"/>
      <w:r>
        <w:rPr>
          <w:rFonts w:hint="eastAsia" w:hAnsi="黑体" w:cs="黑体"/>
        </w:rPr>
        <w:t>ICS </w:t>
      </w:r>
      <w:r>
        <w:rPr>
          <w:rFonts w:hint="eastAsia" w:hAnsi="黑体" w:cs="黑体"/>
          <w:lang w:val="en-US" w:eastAsia="zh-CN"/>
        </w:rPr>
        <w:t>91.140.90</w:t>
      </w:r>
    </w:p>
    <w:p w14:paraId="255BDB26">
      <w:pPr>
        <w:pStyle w:val="11"/>
        <w:rPr>
          <w:rFonts w:hint="eastAsia" w:hAnsi="黑体" w:eastAsia="黑体" w:cs="黑体"/>
          <w:lang w:val="en-US" w:eastAsia="zh-CN"/>
        </w:rPr>
      </w:pPr>
      <w:r>
        <w:rPr>
          <w:rFonts w:hint="eastAsia" w:hAnsi="黑体" w:cs="黑体"/>
          <w:lang w:val="en-US" w:eastAsia="zh-CN"/>
        </w:rPr>
        <w:t>CCS Q78</w:t>
      </w:r>
    </w:p>
    <w:p w14:paraId="221F0578">
      <w:pPr>
        <w:pStyle w:val="12"/>
      </w:pPr>
      <w:r>
        <w:t>DB3207</w:t>
      </w:r>
    </w:p>
    <w:p w14:paraId="15760355">
      <w:pPr>
        <w:pStyle w:val="14"/>
        <w:rPr>
          <w:rFonts w:hAnsi="Times New Roman"/>
        </w:rPr>
      </w:pPr>
      <w:r>
        <w:rPr>
          <w:rFonts w:hint="eastAsia" w:hAnsi="Times New Roman"/>
        </w:rPr>
        <w:t>连云港市地方标准</w:t>
      </w:r>
    </w:p>
    <w:p w14:paraId="34821892">
      <w:pPr>
        <w:pStyle w:val="15"/>
        <w:framePr w:x="1622" w:y="3196"/>
        <w:rPr>
          <w:rFonts w:hint="default" w:ascii="黑体" w:hAnsi="黑体" w:eastAsia="黑体" w:cs="黑体"/>
          <w:lang w:val="en-US" w:eastAsia="zh-CN"/>
        </w:rPr>
      </w:pPr>
      <w:r>
        <w:rPr>
          <w:rFonts w:hint="eastAsia" w:ascii="黑体" w:hAnsi="黑体" w:eastAsia="黑体" w:cs="黑体"/>
        </w:rPr>
        <w:t>DB3207/T</w:t>
      </w:r>
      <w:r>
        <w:rPr>
          <w:rFonts w:hint="eastAsia" w:hAnsi="黑体" w:cs="黑体"/>
          <w:lang w:val="en-US" w:eastAsia="zh-CN"/>
        </w:rPr>
        <w:t xml:space="preserve"> </w:t>
      </w:r>
      <w:r>
        <w:rPr>
          <w:rFonts w:hint="eastAsia" w:ascii="黑体" w:hAnsi="黑体" w:eastAsia="黑体" w:cs="黑体"/>
        </w:rPr>
        <w:t>XXXX—202</w:t>
      </w:r>
      <w:r>
        <w:rPr>
          <w:rFonts w:hint="eastAsia" w:hAnsi="黑体" w:cs="黑体"/>
          <w:lang w:val="en-US" w:eastAsia="zh-CN"/>
        </w:rPr>
        <w:t>4</w:t>
      </w:r>
    </w:p>
    <w:tbl>
      <w:tblPr>
        <w:tblStyle w:val="8"/>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F629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3D338290">
            <w:pPr>
              <w:pStyle w:val="16"/>
              <w:framePr w:x="1622" w:y="3196"/>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43977A9E">
                                  <w:pPr>
                                    <w:jc w:val="center"/>
                                  </w:pPr>
                                </w:p>
                              </w:txbxContent>
                            </wps:txbx>
                            <wps:bodyPr upright="1"/>
                          </wps:wsp>
                        </a:graphicData>
                      </a:graphic>
                    </wp:anchor>
                  </w:drawing>
                </mc:Choice>
                <mc:Fallback>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e&#10;YPLL1gAAAAgBAAAPAAAAAAAAAAEAIAAAACIAAABkcnMvZG93bnJldi54bWxQSwECFAAUAAAACACH&#10;TuJAl7vFRrQBAABqAwAADgAAAAAAAAABACAAAAAlAQAAZHJzL2Uyb0RvYy54bWxQSwUGAAAAAAYA&#10;BgBZAQAASwUAAAAA&#10;">
                      <v:fill on="t" focussize="0,0"/>
                      <v:stroke on="f"/>
                      <v:imagedata o:title=""/>
                      <o:lock v:ext="edit" aspectratio="f"/>
                      <v:textbox>
                        <w:txbxContent>
                          <w:p w14:paraId="43977A9E">
                            <w:pPr>
                              <w:jc w:val="center"/>
                            </w:pPr>
                          </w:p>
                        </w:txbxContent>
                      </v:textbox>
                    </v:rect>
                  </w:pict>
                </mc:Fallback>
              </mc:AlternateContent>
            </w:r>
            <w:bookmarkEnd w:id="0"/>
          </w:p>
        </w:tc>
      </w:tr>
    </w:tbl>
    <w:p w14:paraId="0EFF3B4A">
      <w:pPr>
        <w:pStyle w:val="15"/>
        <w:framePr w:x="1622" w:y="3196"/>
        <w:rPr>
          <w:rFonts w:hAnsi="黑体"/>
        </w:rPr>
      </w:pPr>
    </w:p>
    <w:p w14:paraId="56011841">
      <w:pPr>
        <w:pStyle w:val="15"/>
        <w:framePr w:x="1622" w:y="3196"/>
        <w:rPr>
          <w:rFonts w:hAnsi="黑体"/>
        </w:rPr>
      </w:pPr>
    </w:p>
    <w:p w14:paraId="135B1B1B">
      <w:pPr>
        <w:pStyle w:val="17"/>
        <w:framePr w:w="10314" w:wrap="around" w:x="1073" w:y="6627"/>
        <w:jc w:val="center"/>
        <w:rPr>
          <w:color w:val="000000"/>
        </w:rPr>
      </w:pPr>
      <w:r>
        <w:rPr>
          <w:rFonts w:hint="eastAsia"/>
          <w:color w:val="auto"/>
          <w:sz w:val="52"/>
          <w:szCs w:val="52"/>
          <w:lang w:eastAsia="zh-CN"/>
        </w:rPr>
        <w:t>电梯应急处置热线服务规范</w:t>
      </w:r>
    </w:p>
    <w:p w14:paraId="4E27A451">
      <w:pPr>
        <w:pStyle w:val="19"/>
        <w:framePr w:w="10314" w:wrap="around" w:x="1073" w:y="6627"/>
        <w:jc w:val="center"/>
        <w:rPr>
          <w:rFonts w:hint="eastAsia" w:ascii="黑体" w:hAnsi="黑体" w:eastAsia="黑体" w:cs="黑体"/>
          <w:color w:val="auto"/>
          <w:sz w:val="28"/>
          <w:szCs w:val="28"/>
          <w:lang w:val="en-US" w:eastAsia="zh-CN" w:bidi="ar-SA"/>
        </w:rPr>
      </w:pPr>
      <w:r>
        <w:rPr>
          <w:rFonts w:hint="eastAsia" w:ascii="黑体" w:hAnsi="黑体" w:eastAsia="黑体" w:cs="黑体"/>
          <w:color w:val="auto"/>
          <w:sz w:val="28"/>
          <w:szCs w:val="28"/>
          <w:lang w:val="en-US" w:eastAsia="zh-CN" w:bidi="ar-SA"/>
        </w:rPr>
        <w:t>Service Specification for Elevator Emergency Response Hotline</w:t>
      </w:r>
    </w:p>
    <w:p w14:paraId="35B0BF0B">
      <w:pPr>
        <w:pStyle w:val="18"/>
        <w:framePr w:w="10314" w:wrap="around" w:x="1073" w:y="6627"/>
        <w:pBdr>
          <w:top w:val="none" w:sz="0" w:space="0"/>
          <w:left w:val="none" w:sz="0" w:space="0"/>
          <w:bottom w:val="none" w:sz="0" w:space="0"/>
          <w:right w:val="none" w:sz="0" w:space="0"/>
        </w:pBdr>
        <w:rPr>
          <w:rFonts w:hint="default" w:eastAsia="黑体"/>
          <w:lang w:val="en-US" w:eastAsia="zh-CN"/>
        </w:rPr>
      </w:pPr>
      <w:r>
        <w:rPr>
          <w:rFonts w:hint="eastAsia"/>
          <w:lang w:eastAsia="zh-CN"/>
        </w:rPr>
        <w:t>（</w:t>
      </w:r>
      <w:r>
        <w:rPr>
          <w:rFonts w:hint="eastAsia"/>
          <w:lang w:val="en-US" w:eastAsia="zh-CN"/>
        </w:rPr>
        <w:t>征求意见稿</w:t>
      </w:r>
      <w:r>
        <w:rPr>
          <w:rFonts w:hint="eastAsia"/>
          <w:lang w:eastAsia="zh-CN"/>
        </w:rPr>
        <w:t>）</w:t>
      </w:r>
    </w:p>
    <w:p w14:paraId="0D25E53E">
      <w:pPr>
        <w:pStyle w:val="19"/>
        <w:framePr w:w="10314" w:wrap="around" w:x="1073" w:y="6627"/>
        <w:pBdr>
          <w:top w:val="none" w:sz="0" w:space="0"/>
          <w:left w:val="none" w:sz="0" w:space="0"/>
          <w:bottom w:val="none" w:sz="0" w:space="0"/>
          <w:right w:val="none" w:sz="0" w:space="0"/>
        </w:pBdr>
      </w:pPr>
    </w:p>
    <w:p w14:paraId="42ED4844">
      <w:pPr>
        <w:pStyle w:val="19"/>
        <w:framePr w:w="10314" w:wrap="around" w:x="1073" w:y="6627"/>
        <w:jc w:val="center"/>
        <w:rPr>
          <w:rFonts w:hint="eastAsia" w:ascii="黑体" w:hAnsi="黑体" w:eastAsia="黑体" w:cs="黑体"/>
          <w:color w:val="auto"/>
          <w:sz w:val="28"/>
          <w:szCs w:val="28"/>
          <w:lang w:val="en-US" w:eastAsia="zh-CN" w:bidi="ar-SA"/>
        </w:rPr>
      </w:pPr>
      <w:bookmarkStart w:id="5" w:name="_GoBack"/>
      <w:bookmarkEnd w:id="5"/>
    </w:p>
    <w:p w14:paraId="33C2B5A9">
      <w:pPr>
        <w:pStyle w:val="22"/>
        <w:framePr w:w="3682" w:wrap="around" w:vAnchor="text" w:hAnchor="page" w:x="1041" w:y="13450"/>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p>
    <w:p w14:paraId="1C54F046">
      <w:pPr>
        <w:pStyle w:val="24"/>
        <w:framePr w:w="3967" w:h="411" w:hRule="exact" w:vAnchor="text" w:hAnchor="page" w:x="6636" w:y="13465"/>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14:paraId="64DE8EE8">
      <w:pPr>
        <w:pStyle w:val="26"/>
        <w:framePr w:x="2194" w:y="14845"/>
      </w:pPr>
      <w:r>
        <w:rPr>
          <w:rFonts w:hint="eastAsia" w:hAnsi="黑体" w:cs="黑体"/>
        </w:rPr>
        <w:t>连云港市市场监督管理局</w:t>
      </w:r>
      <w:r>
        <w:rPr>
          <w:rFonts w:hAnsi="黑体" w:cs="黑体"/>
        </w:rPr>
        <w:t xml:space="preserve"> </w:t>
      </w:r>
      <w:r>
        <w:rPr>
          <w:rFonts w:hint="eastAsia" w:hAnsi="黑体" w:cs="黑体"/>
        </w:rPr>
        <w:t> </w:t>
      </w:r>
      <w:r>
        <w:rPr>
          <w:rStyle w:val="29"/>
          <w:rFonts w:hint="eastAsia"/>
        </w:rPr>
        <w:t>发布</w:t>
      </w:r>
    </w:p>
    <w:p w14:paraId="1FA6D517">
      <w:pPr>
        <w:pStyle w:val="28"/>
        <w:sectPr>
          <w:headerReference r:id="rId5" w:type="first"/>
          <w:headerReference r:id="rId3" w:type="default"/>
          <w:headerReference r:id="rId4" w:type="even"/>
          <w:pgSz w:w="11906" w:h="16838"/>
          <w:pgMar w:top="567" w:right="850" w:bottom="1134" w:left="1418" w:header="0" w:footer="0" w:gutter="0"/>
          <w:pgBorders>
            <w:top w:val="none" w:sz="0" w:space="0"/>
            <w:left w:val="none" w:sz="0" w:space="0"/>
            <w:bottom w:val="none" w:sz="0" w:space="0"/>
            <w:right w:val="none" w:sz="0" w:space="0"/>
          </w:pgBorders>
          <w:pgNumType w:fmt="upperRoman" w:start="1"/>
          <w:cols w:space="720" w:num="1"/>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-387350</wp:posOffset>
                </wp:positionH>
                <wp:positionV relativeFrom="paragraph">
                  <wp:posOffset>8968740</wp:posOffset>
                </wp:positionV>
                <wp:extent cx="6381115" cy="8890"/>
                <wp:effectExtent l="0" t="0" r="0" b="0"/>
                <wp:wrapNone/>
                <wp:docPr id="4" name="直接连接符 4"/>
                <wp:cNvGraphicFramePr/>
                <a:graphic xmlns:a="http://schemas.openxmlformats.org/drawingml/2006/main">
                  <a:graphicData uri="http://schemas.microsoft.com/office/word/2010/wordprocessingShape">
                    <wps:wsp>
                      <wps:cNvCnPr/>
                      <wps:spPr>
                        <a:xfrm>
                          <a:off x="0" y="0"/>
                          <a:ext cx="638111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5pt;margin-top:706.2pt;height:0.7pt;width:502.45pt;z-index:251661312;mso-width-relative:page;mso-height-relative:page;" filled="f" stroked="t" coordsize="21600,21600" o:gfxdata="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WUFXdoAAAANAQAADwAAAAAAAAABACAAAAAiAAAAZHJzL2Rvd25yZXYu&#10;eG1sUEsBAhQAFAAAAAgAh07iQHqYfGn5AQAA5wMAAA4AAAAAAAAAAQAgAAAAKQEAAGRycy9lMm9E&#10;b2MueG1sUEsFBgAAAAAGAAYAWQEAAJQ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JB4l/XAAAACQEAAA8AAAAAAAAAAQAgAAAAIgAAAGRycy9kb3ducmV2LnhtbFBLAQIU&#10;ABQAAAAIAIdO4kCOdGVB9AEAAOQDAAAOAAAAAAAAAAEAIAAAACYBAABkcnMvZTJvRG9jLnhtbFBL&#10;BQYAAAAABgAGAFkBAACMBQAAAAA=&#10;">
                <v:fill on="f" focussize="0,0"/>
                <v:stroke color="#000000" joinstyle="round"/>
                <v:imagedata o:title=""/>
                <o:lock v:ext="edit" aspectratio="f"/>
              </v:line>
            </w:pict>
          </mc:Fallback>
        </mc:AlternateContent>
      </w:r>
    </w:p>
    <w:sdt>
      <w:sdtPr>
        <w:rPr>
          <w:rFonts w:ascii="宋体" w:hAnsi="宋体" w:eastAsia="宋体" w:cs="Times New Roman"/>
          <w:kern w:val="2"/>
          <w:sz w:val="21"/>
          <w:szCs w:val="24"/>
          <w:lang w:val="en-US" w:eastAsia="zh-CN" w:bidi="ar-SA"/>
        </w:rPr>
        <w:id w:val="147452553"/>
        <w15:color w:val="DBDBDB"/>
        <w:docPartObj>
          <w:docPartGallery w:val="Table of Contents"/>
          <w:docPartUnique/>
        </w:docPartObj>
      </w:sdtPr>
      <w:sdtEndPr>
        <w:rPr>
          <w:rFonts w:hint="default" w:ascii="宋体" w:hAnsi="宋体" w:eastAsia="宋体" w:cs="Times New Roman"/>
          <w:b/>
          <w:kern w:val="2"/>
          <w:sz w:val="21"/>
          <w:szCs w:val="24"/>
          <w:lang w:val="en-US" w:eastAsia="zh-CN" w:bidi="ar-SA"/>
        </w:rPr>
      </w:sdtEndPr>
      <w:sdtContent>
        <w:p w14:paraId="1E0282F3">
          <w:pPr>
            <w:keepNext w:val="0"/>
            <w:keepLines w:val="0"/>
            <w:pageBreakBefore w:val="0"/>
            <w:widowControl w:val="0"/>
            <w:kinsoku/>
            <w:wordWrap/>
            <w:overflowPunct/>
            <w:topLinePunct w:val="0"/>
            <w:autoSpaceDE/>
            <w:autoSpaceDN/>
            <w:bidi w:val="0"/>
            <w:adjustRightInd w:val="0"/>
            <w:snapToGrid w:val="0"/>
            <w:spacing w:before="560" w:beforeLines="0" w:after="560" w:afterLines="0" w:line="240" w:lineRule="auto"/>
            <w:ind w:left="0" w:leftChars="0" w:right="0" w:rightChars="0" w:firstLine="0" w:firstLineChars="0"/>
            <w:jc w:val="center"/>
            <w:textAlignment w:val="auto"/>
            <w:rPr>
              <w:rFonts w:hint="eastAsia" w:ascii="黑体" w:hAnsi="黑体" w:eastAsia="黑体" w:cs="黑体"/>
              <w:sz w:val="32"/>
              <w:szCs w:val="40"/>
              <w:lang w:eastAsia="zh-CN"/>
            </w:rPr>
          </w:pPr>
          <w:bookmarkStart w:id="1" w:name="_Toc28372"/>
          <w:bookmarkStart w:id="2" w:name="_Toc29734"/>
          <w:r>
            <w:rPr>
              <w:rFonts w:hint="eastAsia" w:ascii="黑体" w:hAnsi="黑体" w:eastAsia="黑体" w:cs="黑体"/>
              <w:sz w:val="32"/>
              <w:szCs w:val="40"/>
            </w:rPr>
            <w:t>目</w:t>
          </w:r>
          <w:r>
            <w:rPr>
              <w:rFonts w:hint="eastAsia" w:ascii="黑体" w:hAnsi="黑体" w:eastAsia="黑体" w:cs="黑体"/>
              <w:sz w:val="32"/>
              <w:szCs w:val="40"/>
              <w:lang w:val="en-US" w:eastAsia="zh-CN"/>
            </w:rPr>
            <w:t xml:space="preserve">  </w:t>
          </w:r>
          <w:r>
            <w:rPr>
              <w:rFonts w:hint="eastAsia" w:ascii="黑体" w:hAnsi="黑体" w:eastAsia="黑体" w:cs="黑体"/>
              <w:sz w:val="32"/>
              <w:szCs w:val="40"/>
              <w:lang w:eastAsia="zh-CN"/>
            </w:rPr>
            <w:t>次</w:t>
          </w:r>
        </w:p>
        <w:p w14:paraId="45DFA450">
          <w:pPr>
            <w:pStyle w:val="5"/>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TOC \o "1-2" \h \u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_Toc15818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t>前  言</w:t>
          </w:r>
          <w:r>
            <w:rPr>
              <w:rFonts w:hint="eastAsia" w:asciiTheme="majorEastAsia" w:hAnsiTheme="majorEastAsia" w:eastAsiaTheme="majorEastAsia" w:cstheme="majorEastAsia"/>
              <w:lang w:val="en-US" w:eastAsia="zh-CN"/>
            </w:rPr>
            <w:tab/>
          </w:r>
          <w:r>
            <w:rPr>
              <w:rFonts w:hint="eastAsia" w:asciiTheme="majorEastAsia" w:hAnsiTheme="majorEastAsia" w:eastAsiaTheme="majorEastAsia" w:cstheme="majorEastAsia"/>
              <w:lang w:val="en-US" w:eastAsia="zh-CN"/>
            </w:rPr>
            <w:fldChar w:fldCharType="end"/>
          </w:r>
          <w:r>
            <w:rPr>
              <w:rFonts w:hint="eastAsia" w:asciiTheme="majorEastAsia" w:hAnsiTheme="majorEastAsia" w:eastAsiaTheme="majorEastAsia" w:cstheme="majorEastAsia"/>
              <w:lang w:val="en-US" w:eastAsia="zh-CN"/>
            </w:rPr>
            <w:t>Ⅱ</w:t>
          </w:r>
        </w:p>
        <w:p w14:paraId="43ADFA04">
          <w:pPr>
            <w:pStyle w:val="5"/>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_Toc2778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t>1  范围</w:t>
          </w:r>
          <w:r>
            <w:rPr>
              <w:rFonts w:hint="eastAsia" w:asciiTheme="majorEastAsia" w:hAnsiTheme="majorEastAsia" w:eastAsiaTheme="majorEastAsia" w:cstheme="majorEastAsia"/>
              <w:lang w:val="en-US" w:eastAsia="zh-CN"/>
            </w:rPr>
            <w:tab/>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lang w:val="en-US" w:eastAsia="zh-CN"/>
            </w:rPr>
            <w:fldChar w:fldCharType="end"/>
          </w:r>
        </w:p>
        <w:p w14:paraId="491A9587">
          <w:pPr>
            <w:pStyle w:val="5"/>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_Toc19350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t>2  规范性引用文件</w:t>
          </w:r>
          <w:r>
            <w:rPr>
              <w:rFonts w:hint="eastAsia" w:asciiTheme="majorEastAsia" w:hAnsiTheme="majorEastAsia" w:eastAsiaTheme="majorEastAsia" w:cstheme="majorEastAsia"/>
              <w:lang w:val="en-US" w:eastAsia="zh-CN"/>
            </w:rPr>
            <w:tab/>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lang w:val="en-US" w:eastAsia="zh-CN"/>
            </w:rPr>
            <w:fldChar w:fldCharType="end"/>
          </w:r>
        </w:p>
        <w:p w14:paraId="6B239780">
          <w:pPr>
            <w:pStyle w:val="5"/>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_Toc9287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t>3  术语和定义</w:t>
          </w:r>
          <w:r>
            <w:rPr>
              <w:rFonts w:hint="eastAsia" w:asciiTheme="majorEastAsia" w:hAnsiTheme="majorEastAsia" w:eastAsiaTheme="majorEastAsia" w:cstheme="majorEastAsia"/>
              <w:lang w:val="en-US" w:eastAsia="zh-CN"/>
            </w:rPr>
            <w:tab/>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lang w:val="en-US" w:eastAsia="zh-CN"/>
            </w:rPr>
            <w:fldChar w:fldCharType="end"/>
          </w:r>
        </w:p>
        <w:p w14:paraId="781D9A0A">
          <w:pPr>
            <w:pStyle w:val="5"/>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_Toc18499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t>4  总体要求</w:t>
          </w:r>
          <w:r>
            <w:rPr>
              <w:rFonts w:hint="eastAsia" w:asciiTheme="majorEastAsia" w:hAnsiTheme="majorEastAsia" w:eastAsiaTheme="majorEastAsia" w:cstheme="majorEastAsia"/>
              <w:lang w:val="en-US" w:eastAsia="zh-CN"/>
            </w:rPr>
            <w:tab/>
          </w:r>
          <w:r>
            <w:rPr>
              <w:rFonts w:hint="eastAsia" w:asciiTheme="majorEastAsia" w:hAnsiTheme="majorEastAsia" w:eastAsiaTheme="majorEastAsia" w:cstheme="majorEastAsia"/>
              <w:lang w:val="en-US" w:eastAsia="zh-CN"/>
            </w:rPr>
            <w:t>2</w:t>
          </w:r>
          <w:r>
            <w:rPr>
              <w:rFonts w:hint="eastAsia" w:asciiTheme="majorEastAsia" w:hAnsiTheme="majorEastAsia" w:eastAsiaTheme="majorEastAsia" w:cstheme="majorEastAsia"/>
              <w:lang w:val="en-US" w:eastAsia="zh-CN"/>
            </w:rPr>
            <w:fldChar w:fldCharType="end"/>
          </w:r>
        </w:p>
        <w:p w14:paraId="3752F130">
          <w:pPr>
            <w:pStyle w:val="5"/>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_Toc11410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t>5  基本要求</w:t>
          </w:r>
          <w:r>
            <w:rPr>
              <w:rFonts w:hint="eastAsia" w:asciiTheme="majorEastAsia" w:hAnsiTheme="majorEastAsia" w:eastAsiaTheme="majorEastAsia" w:cstheme="majorEastAsia"/>
              <w:lang w:val="en-US" w:eastAsia="zh-CN"/>
            </w:rPr>
            <w:tab/>
          </w:r>
          <w:r>
            <w:rPr>
              <w:rFonts w:hint="eastAsia" w:asciiTheme="majorEastAsia" w:hAnsiTheme="majorEastAsia" w:eastAsiaTheme="majorEastAsia" w:cstheme="majorEastAsia"/>
              <w:lang w:val="en-US" w:eastAsia="zh-CN"/>
            </w:rPr>
            <w:t>2</w:t>
          </w:r>
          <w:r>
            <w:rPr>
              <w:rFonts w:hint="eastAsia" w:asciiTheme="majorEastAsia" w:hAnsiTheme="majorEastAsia" w:eastAsiaTheme="majorEastAsia" w:cstheme="majorEastAsia"/>
              <w:lang w:val="en-US" w:eastAsia="zh-CN"/>
            </w:rPr>
            <w:fldChar w:fldCharType="end"/>
          </w:r>
        </w:p>
        <w:p w14:paraId="5FD6B3B7">
          <w:pPr>
            <w:pStyle w:val="5"/>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_Toc24461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t>6  服务内容</w:t>
          </w:r>
          <w:r>
            <w:rPr>
              <w:rFonts w:hint="eastAsia" w:asciiTheme="majorEastAsia" w:hAnsiTheme="majorEastAsia" w:eastAsiaTheme="majorEastAsia" w:cstheme="majorEastAsia"/>
              <w:lang w:val="en-US" w:eastAsia="zh-CN"/>
            </w:rPr>
            <w:tab/>
          </w: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lang w:val="en-US" w:eastAsia="zh-CN"/>
            </w:rPr>
            <w:fldChar w:fldCharType="end"/>
          </w:r>
          <w:r>
            <w:rPr>
              <w:rFonts w:hint="eastAsia" w:asciiTheme="majorEastAsia" w:hAnsiTheme="majorEastAsia" w:eastAsiaTheme="majorEastAsia" w:cstheme="majorEastAsia"/>
              <w:lang w:val="en-US" w:eastAsia="zh-CN"/>
            </w:rPr>
            <w:fldChar w:fldCharType="end"/>
          </w:r>
          <w:bookmarkStart w:id="3" w:name="_Toc15818"/>
        </w:p>
        <w:p w14:paraId="5C4282B1">
          <w:pPr>
            <w:pStyle w:val="5"/>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_Toc2778 </w:instrText>
          </w:r>
          <w:r>
            <w:rPr>
              <w:rFonts w:hint="eastAsia" w:asciiTheme="majorEastAsia" w:hAnsiTheme="majorEastAsia" w:eastAsiaTheme="majorEastAsia" w:cstheme="majorEastAsia"/>
              <w:lang w:val="en-US" w:eastAsia="zh-CN"/>
            </w:rPr>
            <w:fldChar w:fldCharType="separate"/>
          </w:r>
          <w:r>
            <w:rPr>
              <w:rFonts w:hint="eastAsia" w:asciiTheme="majorEastAsia" w:hAnsiTheme="majorEastAsia" w:eastAsiaTheme="majorEastAsia" w:cstheme="majorEastAsia"/>
              <w:lang w:val="en-US" w:eastAsia="zh-CN"/>
            </w:rPr>
            <w:t>7  服务评价与改进.......................................................................6</w:t>
          </w:r>
          <w:r>
            <w:rPr>
              <w:rFonts w:hint="eastAsia" w:asciiTheme="majorEastAsia" w:hAnsiTheme="majorEastAsia" w:eastAsiaTheme="majorEastAsia" w:cstheme="majorEastAsia"/>
              <w:lang w:val="en-US" w:eastAsia="zh-CN"/>
            </w:rPr>
            <w:fldChar w:fldCharType="end"/>
          </w:r>
        </w:p>
        <w:p w14:paraId="5EF89C6B">
          <w:pPr>
            <w:pStyle w:val="5"/>
            <w:tabs>
              <w:tab w:val="right" w:leader="dot" w:pos="9354"/>
            </w:tabs>
          </w:pPr>
        </w:p>
      </w:sdtContent>
    </w:sdt>
    <w:p w14:paraId="7D240E6B">
      <w:pPr>
        <w:pStyle w:val="30"/>
        <w:keepNext/>
        <w:keepLines w:val="0"/>
        <w:pageBreakBefore/>
        <w:widowControl/>
        <w:kinsoku/>
        <w:wordWrap/>
        <w:overflowPunct/>
        <w:topLinePunct w:val="0"/>
        <w:autoSpaceDE/>
        <w:autoSpaceDN/>
        <w:bidi w:val="0"/>
        <w:adjustRightInd w:val="0"/>
        <w:snapToGrid w:val="0"/>
        <w:spacing w:line="360" w:lineRule="auto"/>
        <w:textAlignment w:val="auto"/>
      </w:pPr>
      <w:r>
        <w:rPr>
          <w:rFonts w:hint="eastAsia" w:ascii="黑体" w:hAnsi="黑体" w:eastAsia="黑体" w:cs="黑体"/>
        </w:rPr>
        <w:t>前</w:t>
      </w:r>
      <w:bookmarkStart w:id="4" w:name="BKQY"/>
      <w:r>
        <w:rPr>
          <w:rFonts w:hint="eastAsia" w:ascii="黑体" w:hAnsi="黑体" w:eastAsia="黑体" w:cs="黑体"/>
        </w:rPr>
        <w:t>  言</w:t>
      </w:r>
      <w:bookmarkEnd w:id="1"/>
      <w:bookmarkEnd w:id="2"/>
      <w:bookmarkEnd w:id="3"/>
      <w:bookmarkEnd w:id="4"/>
    </w:p>
    <w:p w14:paraId="0AE8C110">
      <w:pPr>
        <w:pStyle w:val="28"/>
        <w:keepNext w:val="0"/>
        <w:keepLines w:val="0"/>
        <w:pageBreakBefore w:val="0"/>
        <w:widowControl/>
        <w:kinsoku/>
        <w:wordWrap/>
        <w:overflowPunct/>
        <w:topLinePunct w:val="0"/>
        <w:autoSpaceDE w:val="0"/>
        <w:autoSpaceDN w:val="0"/>
        <w:bidi w:val="0"/>
        <w:adjustRightInd/>
        <w:snapToGrid/>
        <w:spacing w:line="360" w:lineRule="auto"/>
        <w:ind w:left="420" w:leftChars="200" w:firstLine="0" w:firstLineChars="0"/>
        <w:textAlignment w:val="auto"/>
        <w:rPr>
          <w:rFonts w:hint="eastAsia"/>
        </w:rPr>
      </w:pPr>
      <w:r>
        <w:rPr>
          <w:rFonts w:hint="eastAsia"/>
        </w:rPr>
        <w:t>本文件按GB/T 1.1-2020《标准化工作导则 第1部分：标准化文件的结构和起草规则》</w:t>
      </w:r>
      <w:r>
        <w:rPr>
          <w:rFonts w:hint="eastAsia"/>
          <w:lang w:eastAsia="zh-CN"/>
        </w:rPr>
        <w:t>的</w:t>
      </w:r>
      <w:r>
        <w:rPr>
          <w:rFonts w:hint="eastAsia"/>
        </w:rPr>
        <w:t>规定</w:t>
      </w:r>
      <w:r>
        <w:rPr>
          <w:rFonts w:hint="eastAsia"/>
          <w:lang w:eastAsia="zh-CN"/>
        </w:rPr>
        <w:t>起草</w:t>
      </w:r>
      <w:r>
        <w:rPr>
          <w:rFonts w:hint="eastAsia"/>
        </w:rPr>
        <w:t xml:space="preserve">。  </w:t>
      </w:r>
    </w:p>
    <w:p w14:paraId="62C7FDCA">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请注意本文件的某些内容可能涉及专利。本文件的发布机构不承担识别专利的责任。</w:t>
      </w:r>
    </w:p>
    <w:p w14:paraId="3ECF6225">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本文件由连云港市市场监督管理局提出、归口并组织实施。</w:t>
      </w:r>
    </w:p>
    <w:p w14:paraId="74775F46">
      <w:pPr>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本文件起草单位：连云港市市场监督管理局、江苏省特种设备研究院连云港分院、连云港市标准化研究中</w:t>
      </w:r>
      <w:r>
        <w:rPr>
          <w:rFonts w:hint="eastAsia" w:ascii="宋体" w:hAnsi="宋体" w:cs="宋体"/>
          <w:color w:val="auto"/>
          <w:sz w:val="21"/>
          <w:szCs w:val="21"/>
          <w:lang w:val="en-US" w:eastAsia="zh-CN" w:bidi="ar-SA"/>
        </w:rPr>
        <w:t>心、徐圩新区市场监督管理局</w:t>
      </w:r>
      <w:r>
        <w:rPr>
          <w:rFonts w:hint="eastAsia" w:ascii="宋体" w:hAnsi="宋体" w:eastAsia="宋体" w:cs="宋体"/>
          <w:color w:val="auto"/>
          <w:sz w:val="21"/>
          <w:szCs w:val="21"/>
          <w:lang w:val="en-US" w:eastAsia="zh-CN" w:bidi="ar-SA"/>
        </w:rPr>
        <w:t>。</w:t>
      </w:r>
    </w:p>
    <w:p w14:paraId="1B2D811C">
      <w:pPr>
        <w:keepNext w:val="0"/>
        <w:keepLines w:val="0"/>
        <w:pageBreakBefore w:val="0"/>
        <w:widowControl/>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本文件主要起草人：董文杰</w:t>
      </w:r>
      <w:r>
        <w:rPr>
          <w:rFonts w:hint="eastAsia" w:ascii="宋体" w:hAnsi="宋体" w:cs="宋体"/>
          <w:color w:val="auto"/>
          <w:sz w:val="21"/>
          <w:szCs w:val="21"/>
          <w:lang w:val="en-US" w:eastAsia="zh-CN" w:bidi="ar-SA"/>
        </w:rPr>
        <w:t>、周希现、陈群、关华成、陈德、孙利剑、潘晓盼、高娟</w:t>
      </w:r>
      <w:r>
        <w:rPr>
          <w:rFonts w:hint="eastAsia" w:ascii="宋体" w:hAnsi="宋体" w:eastAsia="宋体" w:cs="宋体"/>
          <w:color w:val="auto"/>
          <w:sz w:val="21"/>
          <w:szCs w:val="21"/>
          <w:lang w:val="en-US" w:eastAsia="zh-CN" w:bidi="ar-SA"/>
        </w:rPr>
        <w:t>。</w:t>
      </w:r>
    </w:p>
    <w:p w14:paraId="2A0947E0">
      <w:pPr>
        <w:pStyle w:val="3"/>
        <w:keepNext w:val="0"/>
        <w:keepLines w:val="0"/>
        <w:pageBreakBefore w:val="0"/>
        <w:kinsoku/>
        <w:wordWrap/>
        <w:overflowPunct/>
        <w:topLinePunct w:val="0"/>
        <w:bidi w:val="0"/>
        <w:adjustRightInd/>
        <w:spacing w:line="360" w:lineRule="auto"/>
        <w:ind w:firstLine="420" w:firstLineChars="200"/>
        <w:textAlignment w:val="auto"/>
        <w:rPr>
          <w:rFonts w:hint="default" w:ascii="宋体" w:hAnsi="Times New Roman" w:eastAsia="宋体" w:cs="Times New Roman"/>
          <w:sz w:val="21"/>
          <w:lang w:val="en-US" w:eastAsia="zh-CN" w:bidi="ar-SA"/>
        </w:rPr>
      </w:pPr>
      <w:r>
        <w:rPr>
          <w:rFonts w:hint="eastAsia" w:ascii="宋体" w:cs="Times New Roman"/>
          <w:sz w:val="21"/>
          <w:lang w:val="en-US" w:eastAsia="zh-CN" w:bidi="ar-SA"/>
        </w:rPr>
        <w:t xml:space="preserve"> </w:t>
      </w:r>
    </w:p>
    <w:p w14:paraId="338E4A87">
      <w:pPr>
        <w:pStyle w:val="28"/>
        <w:keepNext w:val="0"/>
        <w:keepLines w:val="0"/>
        <w:pageBreakBefore w:val="0"/>
        <w:kinsoku/>
        <w:wordWrap/>
        <w:overflowPunct/>
        <w:topLinePunct w:val="0"/>
        <w:bidi w:val="0"/>
        <w:adjustRightInd/>
        <w:spacing w:line="360" w:lineRule="auto"/>
        <w:textAlignment w:val="auto"/>
        <w:rPr>
          <w:szCs w:val="21"/>
        </w:rPr>
      </w:pPr>
    </w:p>
    <w:p w14:paraId="3BA4952A">
      <w:pPr>
        <w:pStyle w:val="28"/>
        <w:rPr>
          <w:szCs w:val="21"/>
        </w:rPr>
        <w:sectPr>
          <w:headerReference r:id="rId6" w:type="default"/>
          <w:footerReference r:id="rId7"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cols w:space="720" w:num="1"/>
          <w:formProt w:val="0"/>
          <w:docGrid w:type="lines" w:linePitch="312" w:charSpace="0"/>
        </w:sectPr>
      </w:pPr>
    </w:p>
    <w:p w14:paraId="1B0406D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rPr>
      </w:pPr>
      <w:r>
        <w:rPr>
          <w:rFonts w:hint="eastAsia" w:ascii="黑体" w:hAnsi="黑体" w:eastAsia="黑体" w:cs="黑体"/>
          <w:sz w:val="32"/>
          <w:szCs w:val="32"/>
        </w:rPr>
        <w:t>电梯应急处置热线服务规范</w:t>
      </w:r>
    </w:p>
    <w:p w14:paraId="3F85C61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p>
    <w:p w14:paraId="2A76213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 xml:space="preserve">1  </w:t>
      </w:r>
      <w:r>
        <w:rPr>
          <w:rFonts w:hint="eastAsia" w:ascii="黑体" w:hAnsi="黑体" w:eastAsia="黑体" w:cs="黑体"/>
          <w:b w:val="0"/>
          <w:bCs w:val="0"/>
        </w:rPr>
        <w:t>范围</w:t>
      </w:r>
    </w:p>
    <w:p w14:paraId="6961457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rPr>
      </w:pPr>
      <w:r>
        <w:rPr>
          <w:rFonts w:hint="eastAsia"/>
          <w:lang w:eastAsia="zh-CN"/>
        </w:rPr>
        <w:t>本</w:t>
      </w:r>
      <w:r>
        <w:rPr>
          <w:rFonts w:hint="eastAsia"/>
        </w:rPr>
        <w:t>文件</w:t>
      </w:r>
      <w:r>
        <w:rPr>
          <w:rFonts w:hint="eastAsia"/>
          <w:lang w:eastAsia="zh-CN"/>
        </w:rPr>
        <w:t>给出</w:t>
      </w:r>
      <w:r>
        <w:rPr>
          <w:rFonts w:hint="eastAsia"/>
        </w:rPr>
        <w:t>了电梯应急处置热线服务的总体要求</w:t>
      </w:r>
      <w:r>
        <w:rPr>
          <w:rFonts w:hint="eastAsia"/>
          <w:lang w:eastAsia="zh-CN"/>
        </w:rPr>
        <w:t>、</w:t>
      </w:r>
      <w:r>
        <w:rPr>
          <w:rFonts w:hint="eastAsia"/>
        </w:rPr>
        <w:t>基本要求</w:t>
      </w:r>
      <w:r>
        <w:rPr>
          <w:rFonts w:hint="eastAsia"/>
          <w:lang w:eastAsia="zh-CN"/>
        </w:rPr>
        <w:t>、服务内容、评价、投诉处理与改进和档案管理的说明</w:t>
      </w:r>
      <w:r>
        <w:rPr>
          <w:rFonts w:hint="eastAsia"/>
        </w:rPr>
        <w:t>。</w:t>
      </w:r>
    </w:p>
    <w:p w14:paraId="68AE624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rPr>
      </w:pPr>
      <w:r>
        <w:rPr>
          <w:rFonts w:hint="eastAsia"/>
        </w:rPr>
        <w:t>本文件适用于</w:t>
      </w:r>
      <w:r>
        <w:rPr>
          <w:rFonts w:hint="eastAsia"/>
          <w:lang w:val="en-US" w:eastAsia="zh-CN"/>
        </w:rPr>
        <w:t>电梯应急服务的机构或单位开展电梯应急处置热线的服务工作</w:t>
      </w:r>
      <w:r>
        <w:rPr>
          <w:rFonts w:hint="eastAsia"/>
        </w:rPr>
        <w:t>。</w:t>
      </w:r>
    </w:p>
    <w:p w14:paraId="39569C0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rPr>
        <w:t>2</w:t>
      </w:r>
      <w:r>
        <w:rPr>
          <w:rFonts w:hint="eastAsia" w:ascii="黑体" w:hAnsi="黑体" w:eastAsia="黑体" w:cs="黑体"/>
          <w:b w:val="0"/>
          <w:bCs w:val="0"/>
          <w:lang w:val="en-US" w:eastAsia="zh-CN"/>
        </w:rPr>
        <w:t xml:space="preserve">  </w:t>
      </w:r>
      <w:r>
        <w:rPr>
          <w:rFonts w:hint="eastAsia" w:ascii="黑体" w:hAnsi="黑体" w:eastAsia="黑体" w:cs="黑体"/>
          <w:b w:val="0"/>
          <w:bCs w:val="0"/>
        </w:rPr>
        <w:t>规范性引用文件</w:t>
      </w:r>
    </w:p>
    <w:p w14:paraId="099B76F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rPr>
        <w:t xml:space="preserve">下列文件中的内容通过文中的规范性引用而构成本文件必不可少的条款.其中，注日期的引用文件。 </w:t>
      </w:r>
      <w:r>
        <w:rPr>
          <w:rFonts w:hint="eastAsia" w:ascii="宋体" w:hAnsi="宋体" w:eastAsia="宋体" w:cs="宋体"/>
        </w:rPr>
        <w:t>仅该日期对应的版本适用于木文件；不注日期的引用文件，其最新版本(包括所有的修改单)适用于本  文作。</w:t>
      </w:r>
    </w:p>
    <w:p w14:paraId="6FE17932">
      <w:pPr>
        <w:pStyle w:val="2"/>
        <w:ind w:firstLine="420" w:firstLineChars="200"/>
        <w:rPr>
          <w:rFonts w:hint="default"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GB/T 33359-2016  质检举报处置热线服务规范</w:t>
      </w:r>
    </w:p>
    <w:p w14:paraId="072791A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lang w:val="en-US" w:eastAsia="zh-CN"/>
        </w:rPr>
      </w:pPr>
      <w:r>
        <w:rPr>
          <w:rFonts w:hint="eastAsia" w:ascii="宋体" w:hAnsi="宋体" w:eastAsia="宋体" w:cs="宋体"/>
          <w:kern w:val="2"/>
          <w:sz w:val="21"/>
          <w:szCs w:val="24"/>
          <w:lang w:val="en-US" w:eastAsia="zh-CN" w:bidi="ar-SA"/>
        </w:rPr>
        <w:t>DB32/T 4130-2021  电梯应急处置服务工作规范</w:t>
      </w:r>
    </w:p>
    <w:p w14:paraId="3E87471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rPr>
        <w:t>3</w:t>
      </w:r>
      <w:r>
        <w:rPr>
          <w:rFonts w:hint="eastAsia" w:ascii="黑体" w:hAnsi="黑体" w:eastAsia="黑体" w:cs="黑体"/>
          <w:b w:val="0"/>
          <w:bCs w:val="0"/>
          <w:lang w:val="en-US" w:eastAsia="zh-CN"/>
        </w:rPr>
        <w:t xml:space="preserve">  </w:t>
      </w:r>
      <w:r>
        <w:rPr>
          <w:rFonts w:hint="eastAsia" w:ascii="黑体" w:hAnsi="黑体" w:eastAsia="黑体" w:cs="黑体"/>
          <w:b w:val="0"/>
          <w:bCs w:val="0"/>
        </w:rPr>
        <w:t>术语和定义</w:t>
      </w:r>
    </w:p>
    <w:p w14:paraId="147D9D2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b w:val="0"/>
          <w:bCs w:val="0"/>
        </w:rPr>
      </w:pPr>
      <w:r>
        <w:rPr>
          <w:rFonts w:hint="eastAsia" w:ascii="宋体" w:hAnsi="宋体" w:cs="宋体"/>
          <w:b w:val="0"/>
          <w:bCs w:val="0"/>
          <w:lang w:eastAsia="zh-CN"/>
        </w:rPr>
        <w:t>DB32/T 4130</w:t>
      </w:r>
      <w:r>
        <w:rPr>
          <w:rFonts w:hint="eastAsia" w:ascii="宋体" w:hAnsi="宋体" w:eastAsia="宋体" w:cs="宋体"/>
          <w:b w:val="0"/>
          <w:bCs w:val="0"/>
        </w:rPr>
        <w:t>界定的以及下列术语和定义适用于本文件</w:t>
      </w:r>
      <w:r>
        <w:rPr>
          <w:rFonts w:hint="eastAsia"/>
          <w:b w:val="0"/>
          <w:bCs w:val="0"/>
        </w:rPr>
        <w:t>。</w:t>
      </w:r>
    </w:p>
    <w:p w14:paraId="5C9D0E0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3.1</w:t>
      </w:r>
    </w:p>
    <w:p w14:paraId="63165788">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lang w:val="en-US" w:eastAsia="zh-CN"/>
        </w:rPr>
      </w:pPr>
      <w:r>
        <w:rPr>
          <w:rFonts w:hint="eastAsia" w:ascii="黑体" w:hAnsi="黑体" w:eastAsia="黑体" w:cs="黑体"/>
        </w:rPr>
        <w:t>电梯应急处置</w:t>
      </w:r>
      <w:r>
        <w:rPr>
          <w:rFonts w:hint="eastAsia" w:ascii="黑体" w:hAnsi="黑体" w:eastAsia="黑体" w:cs="黑体"/>
          <w:lang w:val="en-US" w:eastAsia="zh-CN"/>
        </w:rPr>
        <w:t xml:space="preserve"> elevator emergency response</w:t>
      </w:r>
    </w:p>
    <w:p w14:paraId="6A84487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针对电梯困人故障，开展应急指挥的相关活动。</w:t>
      </w:r>
    </w:p>
    <w:p w14:paraId="20C623E2">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rPr>
        <w:t>3.2</w:t>
      </w:r>
      <w:r>
        <w:rPr>
          <w:rFonts w:hint="eastAsia" w:ascii="黑体" w:hAnsi="黑体" w:eastAsia="黑体" w:cs="黑体"/>
          <w:lang w:val="en-US" w:eastAsia="zh-CN"/>
        </w:rPr>
        <w:t xml:space="preserve">  </w:t>
      </w:r>
    </w:p>
    <w:p w14:paraId="04B98A6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rPr>
      </w:pPr>
      <w:r>
        <w:rPr>
          <w:rFonts w:hint="eastAsia" w:ascii="黑体" w:hAnsi="黑体" w:eastAsia="黑体" w:cs="黑体"/>
          <w:b w:val="0"/>
          <w:bCs w:val="0"/>
        </w:rPr>
        <w:t xml:space="preserve">电梯应急处置热线 </w:t>
      </w:r>
      <w:r>
        <w:rPr>
          <w:rFonts w:hint="eastAsia" w:ascii="黑体" w:hAnsi="黑体" w:eastAsia="黑体" w:cs="黑体"/>
          <w:b w:val="0"/>
          <w:bCs w:val="0"/>
          <w:lang w:val="en-US" w:eastAsia="zh-CN"/>
        </w:rPr>
        <w:t xml:space="preserve"> </w:t>
      </w:r>
      <w:r>
        <w:rPr>
          <w:rFonts w:hint="eastAsia" w:ascii="黑体" w:hAnsi="黑体" w:eastAsia="黑体" w:cs="黑体"/>
          <w:b w:val="0"/>
          <w:bCs w:val="0"/>
        </w:rPr>
        <w:t xml:space="preserve">elevator emergency disposal hotline  </w:t>
      </w:r>
    </w:p>
    <w:p w14:paraId="091794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rPr>
      </w:pPr>
      <w:r>
        <w:rPr>
          <w:rFonts w:hint="eastAsia"/>
        </w:rPr>
        <w:t>遇到电梯故障时可直接拨打进行救援的热线电话或呼叫系统。</w:t>
      </w:r>
    </w:p>
    <w:p w14:paraId="218775C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lang w:eastAsia="zh-CN"/>
        </w:rPr>
      </w:pPr>
      <w:r>
        <w:rPr>
          <w:rFonts w:hint="eastAsia" w:ascii="黑体" w:hAnsi="黑体" w:eastAsia="黑体" w:cs="黑体"/>
          <w:b w:val="0"/>
          <w:bCs w:val="0"/>
        </w:rPr>
        <w:t>3.</w:t>
      </w:r>
      <w:r>
        <w:rPr>
          <w:rFonts w:hint="eastAsia" w:ascii="黑体" w:hAnsi="黑体" w:eastAsia="黑体" w:cs="黑体"/>
          <w:b w:val="0"/>
          <w:bCs w:val="0"/>
          <w:lang w:val="en-US" w:eastAsia="zh-CN"/>
        </w:rPr>
        <w:t>3</w:t>
      </w:r>
    </w:p>
    <w:p w14:paraId="7F3FDBD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lang w:val="en-US" w:eastAsia="zh-CN"/>
        </w:rPr>
      </w:pPr>
      <w:r>
        <w:rPr>
          <w:rFonts w:hint="eastAsia" w:ascii="黑体" w:hAnsi="黑体" w:eastAsia="黑体" w:cs="黑体"/>
          <w:b w:val="0"/>
          <w:bCs w:val="0"/>
        </w:rPr>
        <w:t>电梯应急处置热线服务 elevator emergency disposal hotline servic</w:t>
      </w:r>
      <w:r>
        <w:rPr>
          <w:rFonts w:hint="eastAsia" w:ascii="黑体" w:hAnsi="黑体" w:eastAsia="黑体" w:cs="黑体"/>
          <w:b w:val="0"/>
          <w:bCs w:val="0"/>
          <w:lang w:val="en-US" w:eastAsia="zh-CN"/>
        </w:rPr>
        <w:t>e</w:t>
      </w:r>
    </w:p>
    <w:p w14:paraId="558836D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eastAsia="宋体"/>
          <w:lang w:eastAsia="zh-CN"/>
        </w:rPr>
      </w:pPr>
      <w:r>
        <w:rPr>
          <w:rFonts w:hint="eastAsia"/>
        </w:rPr>
        <w:t>依托电梯应急处置</w:t>
      </w:r>
      <w:r>
        <w:rPr>
          <w:rFonts w:hint="eastAsia"/>
          <w:lang w:eastAsia="zh-CN"/>
        </w:rPr>
        <w:t>热线，</w:t>
      </w:r>
      <w:r>
        <w:rPr>
          <w:rFonts w:hint="eastAsia"/>
        </w:rPr>
        <w:t>采用电话及其他媒介等方式，为服</w:t>
      </w:r>
      <w:r>
        <w:rPr>
          <w:rFonts w:hint="eastAsia" w:ascii="宋体" w:hAnsi="宋体" w:eastAsia="宋体" w:cs="宋体"/>
        </w:rPr>
        <w:t>务对象(3.</w:t>
      </w:r>
      <w:r>
        <w:rPr>
          <w:rFonts w:hint="eastAsia" w:ascii="宋体" w:hAnsi="宋体" w:eastAsia="宋体" w:cs="宋体"/>
          <w:lang w:val="en-US" w:eastAsia="zh-CN"/>
        </w:rPr>
        <w:t>5</w:t>
      </w:r>
      <w:r>
        <w:rPr>
          <w:rFonts w:hint="eastAsia" w:ascii="宋体" w:hAnsi="宋体" w:eastAsia="宋体" w:cs="宋体"/>
        </w:rPr>
        <w:t>)提供电梯故</w:t>
      </w:r>
      <w:r>
        <w:rPr>
          <w:rFonts w:hint="eastAsia"/>
        </w:rPr>
        <w:t>障急处置与回访等活动的集合</w:t>
      </w:r>
      <w:r>
        <w:rPr>
          <w:rFonts w:hint="eastAsia"/>
          <w:lang w:eastAsia="zh-CN"/>
        </w:rPr>
        <w:t>。</w:t>
      </w:r>
    </w:p>
    <w:p w14:paraId="1604596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lang w:eastAsia="zh-CN"/>
        </w:rPr>
      </w:pPr>
      <w:r>
        <w:rPr>
          <w:rFonts w:hint="eastAsia" w:ascii="黑体" w:hAnsi="黑体" w:eastAsia="黑体" w:cs="黑体"/>
          <w:b w:val="0"/>
          <w:bCs w:val="0"/>
        </w:rPr>
        <w:t>3.</w:t>
      </w:r>
      <w:r>
        <w:rPr>
          <w:rFonts w:hint="eastAsia" w:ascii="黑体" w:hAnsi="黑体" w:eastAsia="黑体" w:cs="黑体"/>
          <w:b w:val="0"/>
          <w:bCs w:val="0"/>
          <w:lang w:val="en-US" w:eastAsia="zh-CN"/>
        </w:rPr>
        <w:t>4</w:t>
      </w:r>
    </w:p>
    <w:p w14:paraId="0ECF92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rPr>
      </w:pPr>
      <w:r>
        <w:rPr>
          <w:rFonts w:hint="eastAsia" w:ascii="黑体" w:hAnsi="黑体" w:eastAsia="黑体" w:cs="黑体"/>
          <w:b w:val="0"/>
          <w:bCs w:val="0"/>
        </w:rPr>
        <w:t xml:space="preserve">电梯应急处置热线服务提供者 </w:t>
      </w:r>
      <w:r>
        <w:rPr>
          <w:rFonts w:hint="eastAsia" w:ascii="黑体" w:hAnsi="黑体" w:eastAsia="黑体" w:cs="黑体"/>
          <w:b w:val="0"/>
          <w:bCs w:val="0"/>
          <w:lang w:val="en-US" w:eastAsia="zh-CN"/>
        </w:rPr>
        <w:t>e</w:t>
      </w:r>
      <w:r>
        <w:rPr>
          <w:rFonts w:hint="eastAsia" w:ascii="黑体" w:hAnsi="黑体" w:eastAsia="黑体" w:cs="黑体"/>
          <w:b w:val="0"/>
          <w:bCs w:val="0"/>
        </w:rPr>
        <w:t xml:space="preserve">levator emergency disposal hotline service provider </w:t>
      </w:r>
    </w:p>
    <w:p w14:paraId="544E512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rPr>
      </w:pPr>
      <w:r>
        <w:rPr>
          <w:rFonts w:hint="eastAsia"/>
        </w:rPr>
        <w:t>提供电梯应急处置热线服务的机构或部门。</w:t>
      </w:r>
    </w:p>
    <w:p w14:paraId="227D2D6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lang w:eastAsia="zh-CN"/>
        </w:rPr>
      </w:pPr>
      <w:r>
        <w:rPr>
          <w:rFonts w:hint="eastAsia" w:ascii="黑体" w:hAnsi="黑体" w:eastAsia="黑体" w:cs="黑体"/>
          <w:b w:val="0"/>
          <w:bCs w:val="0"/>
        </w:rPr>
        <w:t>3.</w:t>
      </w:r>
      <w:r>
        <w:rPr>
          <w:rFonts w:hint="eastAsia" w:ascii="黑体" w:hAnsi="黑体" w:eastAsia="黑体" w:cs="黑体"/>
          <w:b w:val="0"/>
          <w:bCs w:val="0"/>
          <w:lang w:val="en-US" w:eastAsia="zh-CN"/>
        </w:rPr>
        <w:t>5</w:t>
      </w:r>
    </w:p>
    <w:p w14:paraId="69FCA27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rPr>
      </w:pPr>
      <w:r>
        <w:rPr>
          <w:rFonts w:hint="eastAsia" w:ascii="黑体" w:hAnsi="黑体" w:eastAsia="黑体" w:cs="黑体"/>
          <w:b w:val="0"/>
          <w:bCs w:val="0"/>
        </w:rPr>
        <w:t>服务对象 service objects</w:t>
      </w:r>
    </w:p>
    <w:p w14:paraId="3CD31C6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eastAsia="宋体"/>
          <w:lang w:eastAsia="zh-CN"/>
        </w:rPr>
      </w:pPr>
      <w:r>
        <w:rPr>
          <w:rFonts w:hint="eastAsia"/>
        </w:rPr>
        <w:t>向电梯应急处置热线请求电梯故障应急处置、</w:t>
      </w:r>
      <w:r>
        <w:rPr>
          <w:rFonts w:hint="eastAsia"/>
          <w:lang w:eastAsia="zh-CN"/>
        </w:rPr>
        <w:t>咨询信</w:t>
      </w:r>
      <w:r>
        <w:rPr>
          <w:rFonts w:hint="eastAsia"/>
        </w:rPr>
        <w:t>息、反映诉求、提出意见建议的</w:t>
      </w:r>
      <w:r>
        <w:rPr>
          <w:rFonts w:hint="eastAsia"/>
          <w:lang w:eastAsia="zh-CN"/>
        </w:rPr>
        <w:t>自然</w:t>
      </w:r>
      <w:r>
        <w:rPr>
          <w:rFonts w:hint="eastAsia"/>
        </w:rPr>
        <w:t>人、法人或其他组织</w:t>
      </w:r>
      <w:r>
        <w:rPr>
          <w:rFonts w:hint="eastAsia"/>
          <w:lang w:eastAsia="zh-CN"/>
        </w:rPr>
        <w:t>。</w:t>
      </w:r>
    </w:p>
    <w:p w14:paraId="446D791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lang w:val="en-US" w:eastAsia="zh-CN"/>
        </w:rPr>
      </w:pPr>
      <w:r>
        <w:rPr>
          <w:rFonts w:hint="eastAsia" w:ascii="黑体" w:hAnsi="黑体" w:eastAsia="黑体" w:cs="黑体"/>
          <w:b w:val="0"/>
          <w:bCs w:val="0"/>
        </w:rPr>
        <w:t>3.</w:t>
      </w:r>
      <w:r>
        <w:rPr>
          <w:rFonts w:hint="eastAsia" w:ascii="黑体" w:hAnsi="黑体" w:eastAsia="黑体" w:cs="黑体"/>
          <w:b w:val="0"/>
          <w:bCs w:val="0"/>
          <w:lang w:val="en-US" w:eastAsia="zh-CN"/>
        </w:rPr>
        <w:t>6</w:t>
      </w:r>
    </w:p>
    <w:p w14:paraId="4B9870B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rPr>
      </w:pPr>
      <w:r>
        <w:rPr>
          <w:rFonts w:hint="eastAsia" w:ascii="黑体" w:hAnsi="黑体" w:eastAsia="黑体" w:cs="黑体"/>
          <w:b w:val="0"/>
          <w:bCs w:val="0"/>
        </w:rPr>
        <w:t>一次性接通率 one time conne</w:t>
      </w:r>
      <w:r>
        <w:rPr>
          <w:rFonts w:hint="eastAsia" w:ascii="黑体" w:hAnsi="黑体" w:eastAsia="黑体" w:cs="黑体"/>
          <w:b w:val="0"/>
          <w:bCs w:val="0"/>
          <w:lang w:val="en-US" w:eastAsia="zh-CN"/>
        </w:rPr>
        <w:t>c</w:t>
      </w:r>
      <w:r>
        <w:rPr>
          <w:rFonts w:hint="eastAsia" w:ascii="黑体" w:hAnsi="黑体" w:eastAsia="黑体" w:cs="黑体"/>
          <w:b w:val="0"/>
          <w:bCs w:val="0"/>
        </w:rPr>
        <w:t xml:space="preserve">tion rate </w:t>
      </w:r>
    </w:p>
    <w:p w14:paraId="1D9D461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rPr>
      </w:pPr>
      <w:r>
        <w:rPr>
          <w:rFonts w:hint="eastAsia"/>
        </w:rPr>
        <w:t>一次性接通的来电数量与来电总量之比。</w:t>
      </w:r>
    </w:p>
    <w:p w14:paraId="3C57033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rPr>
      </w:pPr>
      <w:r>
        <w:rPr>
          <w:rFonts w:hint="eastAsia" w:ascii="黑体" w:hAnsi="黑体" w:eastAsia="黑体" w:cs="黑体"/>
        </w:rPr>
        <w:t>4</w:t>
      </w:r>
      <w:r>
        <w:rPr>
          <w:rFonts w:hint="eastAsia" w:ascii="黑体" w:hAnsi="黑体" w:eastAsia="黑体" w:cs="黑体"/>
          <w:lang w:val="en-US" w:eastAsia="zh-CN"/>
        </w:rPr>
        <w:t xml:space="preserve"> </w:t>
      </w:r>
      <w:r>
        <w:rPr>
          <w:rFonts w:hint="eastAsia" w:ascii="黑体" w:hAnsi="黑体" w:eastAsia="黑体" w:cs="黑体"/>
        </w:rPr>
        <w:t xml:space="preserve"> 总体要求</w:t>
      </w:r>
    </w:p>
    <w:p w14:paraId="36BEB3C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r>
        <w:rPr>
          <w:rFonts w:hint="eastAsia" w:ascii="黑体" w:hAnsi="黑体" w:eastAsia="黑体" w:cs="黑体"/>
        </w:rPr>
        <w:t>4.1</w:t>
      </w:r>
      <w:r>
        <w:rPr>
          <w:rFonts w:hint="eastAsia"/>
          <w:lang w:val="en-US" w:eastAsia="zh-CN"/>
        </w:rPr>
        <w:t xml:space="preserve">  </w:t>
      </w:r>
      <w:r>
        <w:rPr>
          <w:rFonts w:hint="eastAsia"/>
        </w:rPr>
        <w:t>电梯应急处置热线服务提供者应根据需要设立电梯应急处置服务平台，负责本行政区域内电梯应急救援热线的建设、运行管理等工作。</w:t>
      </w:r>
    </w:p>
    <w:p w14:paraId="41F31D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ascii="黑体" w:hAnsi="黑体" w:eastAsia="黑体" w:cs="黑体"/>
          <w:lang w:val="en-US" w:eastAsia="zh-CN"/>
        </w:rPr>
        <w:t xml:space="preserve">4.2 </w:t>
      </w:r>
      <w:r>
        <w:rPr>
          <w:rFonts w:hint="eastAsia"/>
          <w:lang w:val="en-US" w:eastAsia="zh-CN"/>
        </w:rPr>
        <w:t xml:space="preserve"> </w:t>
      </w:r>
      <w:r>
        <w:rPr>
          <w:rFonts w:hint="eastAsia"/>
        </w:rPr>
        <w:t>电梯应急处置平台的建设投资、运行规模应与当地电梯数量、管理要求相适应，电梯应急处置机构人员数量应满足应急处置工作的需求。</w:t>
      </w:r>
    </w:p>
    <w:p w14:paraId="3E80867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r>
        <w:rPr>
          <w:rFonts w:hint="eastAsia" w:ascii="黑体" w:hAnsi="黑体" w:eastAsia="黑体" w:cs="黑体"/>
        </w:rPr>
        <w:t>4.3</w:t>
      </w:r>
      <w:r>
        <w:rPr>
          <w:rFonts w:hint="eastAsia"/>
          <w:lang w:val="en-US" w:eastAsia="zh-CN"/>
        </w:rPr>
        <w:t xml:space="preserve">  </w:t>
      </w:r>
      <w:r>
        <w:rPr>
          <w:rFonts w:hint="eastAsia"/>
        </w:rPr>
        <w:t>电梯应急处置热线</w:t>
      </w:r>
      <w:r>
        <w:rPr>
          <w:rFonts w:hint="eastAsia" w:ascii="宋体" w:hAnsi="宋体" w:eastAsia="宋体" w:cs="宋体"/>
        </w:rPr>
        <w:t>应选用“96333”作为电梯应急处置服务号码。</w:t>
      </w:r>
    </w:p>
    <w:p w14:paraId="205DBE5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rPr>
      </w:pPr>
      <w:r>
        <w:rPr>
          <w:rFonts w:hint="eastAsia" w:ascii="黑体" w:hAnsi="黑体" w:eastAsia="黑体" w:cs="黑体"/>
        </w:rPr>
        <w:t xml:space="preserve">4.4 </w:t>
      </w:r>
      <w:r>
        <w:rPr>
          <w:rFonts w:hint="eastAsia"/>
        </w:rPr>
        <w:t xml:space="preserve"> 电梯应急处置热线</w:t>
      </w:r>
      <w:r>
        <w:rPr>
          <w:rFonts w:hint="eastAsia" w:ascii="宋体" w:hAnsi="宋体" w:eastAsia="宋体" w:cs="宋体"/>
        </w:rPr>
        <w:t>受理应采取每周7天，每天24</w:t>
      </w:r>
      <w:r>
        <w:rPr>
          <w:rFonts w:hint="eastAsia" w:ascii="宋体" w:hAnsi="宋体" w:eastAsia="宋体" w:cs="宋体"/>
          <w:lang w:val="en-US" w:eastAsia="zh-CN"/>
        </w:rPr>
        <w:t>h</w:t>
      </w:r>
      <w:r>
        <w:rPr>
          <w:rFonts w:hint="eastAsia" w:ascii="宋体" w:hAnsi="宋体" w:eastAsia="宋体" w:cs="宋体"/>
        </w:rPr>
        <w:t>工作制。</w:t>
      </w:r>
    </w:p>
    <w:p w14:paraId="7FA1C2A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lang w:val="en-US" w:eastAsia="zh-CN"/>
        </w:rPr>
      </w:pPr>
      <w:r>
        <w:rPr>
          <w:rFonts w:hint="eastAsia" w:ascii="黑体" w:hAnsi="黑体" w:eastAsia="黑体" w:cs="黑体"/>
        </w:rPr>
        <w:t>4.5</w:t>
      </w:r>
      <w:r>
        <w:rPr>
          <w:rFonts w:hint="eastAsia" w:ascii="黑体" w:hAnsi="黑体" w:eastAsia="黑体" w:cs="黑体"/>
          <w:lang w:val="en-US" w:eastAsia="zh-CN"/>
        </w:rPr>
        <w:t xml:space="preserve"> </w:t>
      </w:r>
      <w:r>
        <w:rPr>
          <w:rFonts w:hint="eastAsia"/>
          <w:lang w:val="en-US" w:eastAsia="zh-CN"/>
        </w:rPr>
        <w:t xml:space="preserve"> </w:t>
      </w:r>
      <w:r>
        <w:rPr>
          <w:rFonts w:hint="eastAsia"/>
        </w:rPr>
        <w:t>电梯应急处置热线</w:t>
      </w:r>
      <w:r>
        <w:rPr>
          <w:rFonts w:hint="eastAsia" w:ascii="宋体" w:hAnsi="宋体" w:eastAsia="宋体" w:cs="宋体"/>
        </w:rPr>
        <w:t>应与110、119、120、12345等建立协同联动机制</w:t>
      </w:r>
      <w:r>
        <w:rPr>
          <w:rFonts w:hint="eastAsia" w:ascii="宋体" w:hAnsi="宋体" w:eastAsia="宋体" w:cs="宋体"/>
          <w:lang w:val="en-US" w:eastAsia="zh-CN"/>
        </w:rPr>
        <w:t>。</w:t>
      </w:r>
    </w:p>
    <w:p w14:paraId="63F3A69F">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5  基本要求</w:t>
      </w:r>
    </w:p>
    <w:p w14:paraId="4E6940A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rPr>
        <w:t>5</w:t>
      </w:r>
      <w:r>
        <w:rPr>
          <w:rFonts w:hint="eastAsia" w:ascii="黑体" w:hAnsi="黑体" w:eastAsia="黑体" w:cs="黑体"/>
          <w:b w:val="0"/>
          <w:bCs w:val="0"/>
          <w:lang w:val="en-US" w:eastAsia="zh-CN"/>
        </w:rPr>
        <w:t>.1</w:t>
      </w:r>
      <w:r>
        <w:rPr>
          <w:rFonts w:hint="eastAsia" w:ascii="黑体" w:hAnsi="黑体" w:eastAsia="黑体" w:cs="黑体"/>
          <w:b w:val="0"/>
          <w:bCs w:val="0"/>
        </w:rPr>
        <w:t xml:space="preserve"> </w:t>
      </w:r>
      <w:r>
        <w:rPr>
          <w:rFonts w:hint="eastAsia" w:ascii="黑体" w:hAnsi="黑体" w:eastAsia="黑体" w:cs="黑体"/>
          <w:b w:val="0"/>
          <w:bCs w:val="0"/>
          <w:lang w:val="en-US" w:eastAsia="zh-CN"/>
        </w:rPr>
        <w:t xml:space="preserve"> </w:t>
      </w:r>
      <w:r>
        <w:rPr>
          <w:rFonts w:hint="eastAsia" w:ascii="黑体" w:hAnsi="黑体" w:eastAsia="黑体" w:cs="黑体"/>
          <w:b w:val="0"/>
          <w:bCs w:val="0"/>
        </w:rPr>
        <w:t>场所</w:t>
      </w:r>
    </w:p>
    <w:p w14:paraId="7A85558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r>
        <w:rPr>
          <w:rFonts w:hint="eastAsia" w:ascii="黑体" w:hAnsi="黑体" w:eastAsia="黑体" w:cs="黑体"/>
          <w:b w:val="0"/>
          <w:bCs w:val="0"/>
        </w:rPr>
        <w:t>5.1</w:t>
      </w:r>
      <w:r>
        <w:rPr>
          <w:rFonts w:hint="eastAsia" w:ascii="黑体" w:hAnsi="黑体" w:eastAsia="黑体" w:cs="黑体"/>
          <w:b w:val="0"/>
          <w:bCs w:val="0"/>
          <w:lang w:val="en-US" w:eastAsia="zh-CN"/>
        </w:rPr>
        <w:t xml:space="preserve">.1 </w:t>
      </w:r>
      <w:r>
        <w:rPr>
          <w:rFonts w:hint="eastAsia"/>
          <w:b/>
          <w:bCs/>
          <w:lang w:val="en-US" w:eastAsia="zh-CN"/>
        </w:rPr>
        <w:t xml:space="preserve"> </w:t>
      </w:r>
      <w:r>
        <w:rPr>
          <w:rFonts w:hint="eastAsia"/>
        </w:rPr>
        <w:t xml:space="preserve">电梯应急处置热线服务提供者应具有固定的场所，座席设置的数量，设施设备及软件系统应满足 </w:t>
      </w:r>
      <w:r>
        <w:rPr>
          <w:rFonts w:hint="eastAsia"/>
          <w:lang w:eastAsia="zh-CN"/>
        </w:rPr>
        <w:t>工作</w:t>
      </w:r>
      <w:r>
        <w:rPr>
          <w:rFonts w:hint="eastAsia"/>
        </w:rPr>
        <w:t>要求。</w:t>
      </w:r>
    </w:p>
    <w:p w14:paraId="46233CE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r>
        <w:rPr>
          <w:rFonts w:hint="eastAsia" w:ascii="黑体" w:hAnsi="黑体" w:eastAsia="黑体" w:cs="黑体"/>
          <w:b w:val="0"/>
          <w:bCs w:val="0"/>
        </w:rPr>
        <w:t>5.</w:t>
      </w:r>
      <w:r>
        <w:rPr>
          <w:rFonts w:hint="eastAsia" w:ascii="黑体" w:hAnsi="黑体" w:eastAsia="黑体" w:cs="黑体"/>
          <w:b w:val="0"/>
          <w:bCs w:val="0"/>
          <w:lang w:val="en-US" w:eastAsia="zh-CN"/>
        </w:rPr>
        <w:t>1.</w:t>
      </w:r>
      <w:r>
        <w:rPr>
          <w:rFonts w:hint="eastAsia" w:ascii="黑体" w:hAnsi="黑体" w:eastAsia="黑体" w:cs="黑体"/>
          <w:b w:val="0"/>
          <w:bCs w:val="0"/>
        </w:rPr>
        <w:t xml:space="preserve">2 </w:t>
      </w:r>
      <w:r>
        <w:rPr>
          <w:rFonts w:hint="eastAsia"/>
          <w:b/>
          <w:bCs/>
          <w:lang w:val="en-US" w:eastAsia="zh-CN"/>
        </w:rPr>
        <w:t xml:space="preserve"> </w:t>
      </w:r>
      <w:r>
        <w:rPr>
          <w:rFonts w:hint="eastAsia"/>
        </w:rPr>
        <w:t>工作场所应满足实际工作的需要，并在显著位置设立电梯应急处置热线识别标识。</w:t>
      </w:r>
    </w:p>
    <w:p w14:paraId="534A292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rPr>
      </w:pPr>
      <w:r>
        <w:rPr>
          <w:rFonts w:hint="eastAsia" w:ascii="黑体" w:hAnsi="黑体" w:eastAsia="黑体" w:cs="黑体"/>
          <w:b w:val="0"/>
          <w:bCs w:val="0"/>
        </w:rPr>
        <w:t>5.</w:t>
      </w:r>
      <w:r>
        <w:rPr>
          <w:rFonts w:hint="eastAsia" w:ascii="黑体" w:hAnsi="黑体" w:eastAsia="黑体" w:cs="黑体"/>
          <w:b w:val="0"/>
          <w:bCs w:val="0"/>
          <w:lang w:val="en-US" w:eastAsia="zh-CN"/>
        </w:rPr>
        <w:t>1.</w:t>
      </w:r>
      <w:r>
        <w:rPr>
          <w:rFonts w:hint="eastAsia" w:ascii="黑体" w:hAnsi="黑体" w:eastAsia="黑体" w:cs="黑体"/>
          <w:b w:val="0"/>
          <w:bCs w:val="0"/>
        </w:rPr>
        <w:t xml:space="preserve">3 </w:t>
      </w:r>
      <w:r>
        <w:rPr>
          <w:rFonts w:hint="eastAsia" w:ascii="黑体" w:hAnsi="黑体" w:eastAsia="黑体" w:cs="黑体"/>
          <w:b w:val="0"/>
          <w:bCs w:val="0"/>
          <w:lang w:val="en-US" w:eastAsia="zh-CN"/>
        </w:rPr>
        <w:t xml:space="preserve"> </w:t>
      </w:r>
      <w:r>
        <w:rPr>
          <w:rFonts w:hint="eastAsia"/>
        </w:rPr>
        <w:t>坐</w:t>
      </w:r>
      <w:r>
        <w:rPr>
          <w:rFonts w:hint="eastAsia" w:ascii="宋体" w:hAnsi="宋体" w:eastAsia="宋体" w:cs="宋体"/>
        </w:rPr>
        <w:t>席设置宜满足以下要求：</w:t>
      </w:r>
    </w:p>
    <w:p w14:paraId="6C8B869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a)单个座席工作面积不小于3m²:</w:t>
      </w:r>
    </w:p>
    <w:p w14:paraId="2484109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b)座席前后有0.5m～1m 的间距。</w:t>
      </w:r>
    </w:p>
    <w:p w14:paraId="0DDD3F6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5.2</w:t>
      </w:r>
      <w:r>
        <w:rPr>
          <w:rFonts w:hint="eastAsia" w:ascii="黑体" w:hAnsi="黑体" w:eastAsia="黑体" w:cs="黑体"/>
          <w:b w:val="0"/>
          <w:bCs w:val="0"/>
        </w:rPr>
        <w:t xml:space="preserve"> 人员</w:t>
      </w:r>
    </w:p>
    <w:p w14:paraId="7B15D70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 xml:space="preserve">5.2.1 </w:t>
      </w:r>
      <w:r>
        <w:rPr>
          <w:rFonts w:hint="eastAsia" w:ascii="黑体" w:hAnsi="黑体" w:eastAsia="黑体" w:cs="黑体"/>
          <w:b w:val="0"/>
          <w:bCs w:val="0"/>
        </w:rPr>
        <w:t>组成</w:t>
      </w:r>
    </w:p>
    <w:p w14:paraId="3B6C614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rPr>
      </w:pPr>
      <w:r>
        <w:rPr>
          <w:rFonts w:hint="eastAsia"/>
        </w:rPr>
        <w:t>应</w:t>
      </w:r>
      <w:r>
        <w:rPr>
          <w:rFonts w:hint="eastAsia"/>
          <w:lang w:eastAsia="zh-CN"/>
        </w:rPr>
        <w:t>包括但不限于</w:t>
      </w:r>
      <w:r>
        <w:rPr>
          <w:rFonts w:hint="eastAsia"/>
        </w:rPr>
        <w:t>配备管理人员、电梯应急处置坐席</w:t>
      </w:r>
      <w:r>
        <w:rPr>
          <w:rFonts w:hint="eastAsia"/>
          <w:lang w:eastAsia="zh-CN"/>
        </w:rPr>
        <w:t>人</w:t>
      </w:r>
      <w:r>
        <w:rPr>
          <w:rFonts w:hint="eastAsia"/>
        </w:rPr>
        <w:t>员、数据</w:t>
      </w:r>
      <w:r>
        <w:rPr>
          <w:rFonts w:hint="eastAsia"/>
          <w:lang w:eastAsia="zh-CN"/>
        </w:rPr>
        <w:t>管理</w:t>
      </w:r>
      <w:r>
        <w:rPr>
          <w:rFonts w:hint="eastAsia"/>
        </w:rPr>
        <w:t>人员等。</w:t>
      </w:r>
    </w:p>
    <w:p w14:paraId="5E1D52F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5.2.2</w:t>
      </w:r>
      <w:r>
        <w:rPr>
          <w:rFonts w:hint="eastAsia" w:ascii="黑体" w:hAnsi="黑体" w:eastAsia="黑体" w:cs="黑体"/>
          <w:b w:val="0"/>
          <w:bCs w:val="0"/>
        </w:rPr>
        <w:t xml:space="preserve">  管理人员</w:t>
      </w:r>
    </w:p>
    <w:p w14:paraId="678AD7B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电梯应急处置热线管理人员应符合以下要求：</w:t>
      </w:r>
    </w:p>
    <w:p w14:paraId="2985E76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 掌握电梯的基本知识和乘用常识，熟悉与电梯应急处置热线工作相关的法律法规和政策</w:t>
      </w:r>
      <w:r>
        <w:rPr>
          <w:rFonts w:hint="eastAsia" w:asciiTheme="minorEastAsia" w:hAnsiTheme="minorEastAsia" w:eastAsiaTheme="minorEastAsia" w:cstheme="minorEastAsia"/>
          <w:lang w:eastAsia="zh-CN"/>
        </w:rPr>
        <w:t>；</w:t>
      </w:r>
    </w:p>
    <w:p w14:paraId="5D43FDD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b) 熟练掌握</w:t>
      </w:r>
      <w:r>
        <w:rPr>
          <w:rFonts w:hint="eastAsia" w:asciiTheme="minorEastAsia" w:hAnsiTheme="minorEastAsia" w:eastAsiaTheme="minorEastAsia" w:cstheme="minorEastAsia"/>
          <w:lang w:val="en-US" w:eastAsia="zh-CN"/>
        </w:rPr>
        <w:t>电梯</w:t>
      </w:r>
      <w:r>
        <w:rPr>
          <w:rFonts w:hint="eastAsia" w:asciiTheme="minorEastAsia" w:hAnsiTheme="minorEastAsia" w:eastAsiaTheme="minorEastAsia" w:cstheme="minorEastAsia"/>
        </w:rPr>
        <w:t>应急处置热线工作流程及要求；</w:t>
      </w:r>
    </w:p>
    <w:p w14:paraId="22F4D10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c) 具备良好组织协调、沟通交流的能力。</w:t>
      </w:r>
    </w:p>
    <w:p w14:paraId="2626BE0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5.2</w:t>
      </w:r>
      <w:r>
        <w:rPr>
          <w:rFonts w:hint="eastAsia" w:ascii="黑体" w:hAnsi="黑体" w:eastAsia="黑体" w:cs="黑体"/>
          <w:b w:val="0"/>
          <w:bCs w:val="0"/>
        </w:rPr>
        <w:t>.3  电梯应急处置坐席</w:t>
      </w:r>
      <w:r>
        <w:rPr>
          <w:rFonts w:hint="eastAsia" w:ascii="黑体" w:hAnsi="黑体" w:eastAsia="黑体" w:cs="黑体"/>
          <w:b w:val="0"/>
          <w:bCs w:val="0"/>
          <w:lang w:eastAsia="zh-CN"/>
        </w:rPr>
        <w:t>人</w:t>
      </w:r>
      <w:r>
        <w:rPr>
          <w:rFonts w:hint="eastAsia" w:ascii="黑体" w:hAnsi="黑体" w:eastAsia="黑体" w:cs="黑体"/>
          <w:b w:val="0"/>
          <w:bCs w:val="0"/>
        </w:rPr>
        <w:t>员</w:t>
      </w:r>
    </w:p>
    <w:p w14:paraId="4789109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电梯应急处置坐席</w:t>
      </w:r>
      <w:r>
        <w:rPr>
          <w:rFonts w:hint="eastAsia" w:ascii="宋体" w:hAnsi="宋体" w:eastAsia="宋体" w:cs="宋体"/>
          <w:lang w:eastAsia="zh-CN"/>
        </w:rPr>
        <w:t>人</w:t>
      </w:r>
      <w:r>
        <w:rPr>
          <w:rFonts w:hint="eastAsia" w:ascii="宋体" w:hAnsi="宋体" w:eastAsia="宋体" w:cs="宋体"/>
        </w:rPr>
        <w:t>员应符合以下要求：</w:t>
      </w:r>
    </w:p>
    <w:p w14:paraId="2EC2F49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a)掌握电梯的基本知识和乘用常识及与电梯应急处置热线工作相关的法律法规和政策，遵守职业道德、职业纪律，熟练使用电梯应急处置平台软件系统</w:t>
      </w:r>
      <w:r>
        <w:rPr>
          <w:rFonts w:hint="eastAsia" w:ascii="宋体" w:hAnsi="宋体" w:eastAsia="宋体" w:cs="宋体"/>
          <w:lang w:eastAsia="zh-CN"/>
        </w:rPr>
        <w:t>；</w:t>
      </w:r>
    </w:p>
    <w:p w14:paraId="2610926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b)遵守职业道德、职业纪律</w:t>
      </w:r>
      <w:r>
        <w:rPr>
          <w:rFonts w:hint="eastAsia" w:ascii="宋体" w:hAnsi="宋体" w:eastAsia="宋体" w:cs="宋体"/>
          <w:lang w:eastAsia="zh-CN"/>
        </w:rPr>
        <w:t>，并具有较强的沟通、判断、理解和口头表达能力，能使用电梯应急救援安全知识解答被困人诉求并进行情绪安抚；</w:t>
      </w:r>
    </w:p>
    <w:p w14:paraId="2EC848F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c)熟练掌握电梯应急处置热线服务工作流程及相关部门(单位)的工作职能</w:t>
      </w:r>
      <w:r>
        <w:rPr>
          <w:rFonts w:hint="eastAsia" w:ascii="宋体" w:hAnsi="宋体" w:eastAsia="宋体" w:cs="宋体"/>
          <w:lang w:eastAsia="zh-CN"/>
        </w:rPr>
        <w:t>和</w:t>
      </w:r>
      <w:r>
        <w:rPr>
          <w:rFonts w:hint="eastAsia" w:ascii="宋体" w:hAnsi="宋体" w:eastAsia="宋体" w:cs="宋体"/>
        </w:rPr>
        <w:t>应急救援服务流程及相关救援组织的信息</w:t>
      </w:r>
      <w:r>
        <w:rPr>
          <w:rFonts w:hint="eastAsia" w:ascii="宋体" w:hAnsi="宋体" w:cs="宋体"/>
          <w:lang w:eastAsia="zh-CN"/>
        </w:rPr>
        <w:t>。</w:t>
      </w:r>
    </w:p>
    <w:p w14:paraId="4C3AAE5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5.2.4</w:t>
      </w:r>
      <w:r>
        <w:rPr>
          <w:rFonts w:hint="eastAsia" w:ascii="黑体" w:hAnsi="黑体" w:eastAsia="黑体" w:cs="黑体"/>
          <w:b w:val="0"/>
          <w:bCs w:val="0"/>
        </w:rPr>
        <w:t xml:space="preserve"> 数据</w:t>
      </w:r>
      <w:r>
        <w:rPr>
          <w:rFonts w:hint="eastAsia" w:ascii="黑体" w:hAnsi="黑体" w:eastAsia="黑体" w:cs="黑体"/>
          <w:b w:val="0"/>
          <w:bCs w:val="0"/>
          <w:lang w:eastAsia="zh-CN"/>
        </w:rPr>
        <w:t>管理</w:t>
      </w:r>
      <w:r>
        <w:rPr>
          <w:rFonts w:hint="eastAsia" w:ascii="黑体" w:hAnsi="黑体" w:eastAsia="黑体" w:cs="黑体"/>
          <w:b w:val="0"/>
          <w:bCs w:val="0"/>
        </w:rPr>
        <w:t>人员</w:t>
      </w:r>
    </w:p>
    <w:p w14:paraId="13D065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数据</w:t>
      </w:r>
      <w:r>
        <w:rPr>
          <w:rFonts w:hint="eastAsia" w:ascii="宋体" w:hAnsi="宋体" w:eastAsia="宋体" w:cs="宋体"/>
          <w:lang w:eastAsia="zh-CN"/>
        </w:rPr>
        <w:t>管理</w:t>
      </w:r>
      <w:r>
        <w:rPr>
          <w:rFonts w:hint="eastAsia" w:ascii="宋体" w:hAnsi="宋体" w:eastAsia="宋体" w:cs="宋体"/>
        </w:rPr>
        <w:t>人员应符合以下要求；</w:t>
      </w:r>
    </w:p>
    <w:p w14:paraId="572DFC3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cs="宋体"/>
          <w:lang w:val="en-US" w:eastAsia="zh-CN"/>
        </w:rPr>
        <w:t>a)</w:t>
      </w:r>
      <w:r>
        <w:rPr>
          <w:rFonts w:hint="eastAsia" w:ascii="宋体" w:hAnsi="宋体" w:eastAsia="宋体" w:cs="宋体"/>
        </w:rPr>
        <w:t>掌握电梯的基本知识及与电梯应急处置热线工作相关的法律法规和政策；</w:t>
      </w:r>
    </w:p>
    <w:p w14:paraId="1562F61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b)熟练掌握应急救援服务流程及电梯应急处置平台软件系统；</w:t>
      </w:r>
    </w:p>
    <w:p w14:paraId="7CA26AA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c)遵守职业道德、职业纪律</w:t>
      </w:r>
      <w:r>
        <w:rPr>
          <w:rFonts w:hint="eastAsia" w:ascii="宋体" w:hAnsi="宋体" w:eastAsia="宋体" w:cs="宋体"/>
          <w:lang w:eastAsia="zh-CN"/>
        </w:rPr>
        <w:t>，</w:t>
      </w:r>
      <w:r>
        <w:rPr>
          <w:rFonts w:hint="eastAsia" w:ascii="宋体" w:hAnsi="宋体" w:eastAsia="宋体" w:cs="宋体"/>
        </w:rPr>
        <w:t>具备良好的分析判断能力。</w:t>
      </w:r>
    </w:p>
    <w:p w14:paraId="237ECCA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5.3 制度</w:t>
      </w:r>
    </w:p>
    <w:p w14:paraId="7E47D802">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r>
        <w:rPr>
          <w:rFonts w:hint="eastAsia" w:ascii="黑体" w:hAnsi="黑体" w:eastAsia="黑体" w:cs="黑体"/>
          <w:lang w:val="en-US" w:eastAsia="zh-CN"/>
        </w:rPr>
        <w:t xml:space="preserve">5.3.1 </w:t>
      </w:r>
      <w:r>
        <w:rPr>
          <w:rFonts w:hint="eastAsia" w:ascii="宋体" w:hAnsi="宋体" w:cs="宋体"/>
          <w:lang w:val="en-US" w:eastAsia="zh-CN"/>
        </w:rPr>
        <w:t>应建立健全电梯应急处置热线服务工作相关制度、措施以及实施方案的制定和落实。</w:t>
      </w:r>
    </w:p>
    <w:p w14:paraId="30E51E40">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r>
        <w:rPr>
          <w:rFonts w:hint="eastAsia" w:ascii="黑体" w:hAnsi="黑体" w:eastAsia="黑体" w:cs="黑体"/>
          <w:lang w:val="en-US" w:eastAsia="zh-CN"/>
        </w:rPr>
        <w:t xml:space="preserve">5.3.2 </w:t>
      </w:r>
      <w:r>
        <w:rPr>
          <w:rFonts w:hint="eastAsia" w:ascii="宋体" w:hAnsi="宋体" w:cs="宋体"/>
          <w:lang w:val="en-US" w:eastAsia="zh-CN"/>
        </w:rPr>
        <w:t>应建立健全严格的电梯应急处置热线服务管理制度，管理制度包括但不限于:</w:t>
      </w:r>
    </w:p>
    <w:p w14:paraId="4A1F554A">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a) 工作管理制度；</w:t>
      </w:r>
    </w:p>
    <w:p w14:paraId="02F5964E">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c) 工作人员管理制度；</w:t>
      </w:r>
    </w:p>
    <w:p w14:paraId="1B06FFC4">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d) 宣贯培训学习制度；</w:t>
      </w:r>
    </w:p>
    <w:p w14:paraId="3538FC67">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f) 安全管理制度；</w:t>
      </w:r>
    </w:p>
    <w:p w14:paraId="2CA80CEC">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g) 投诉建议处理制度；</w:t>
      </w:r>
    </w:p>
    <w:p w14:paraId="4AA43B4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h) 信息保密制度；</w:t>
      </w:r>
    </w:p>
    <w:p w14:paraId="1069E64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j) 员工考核奖惩考核制度。</w:t>
      </w:r>
    </w:p>
    <w:p w14:paraId="6790BC3E">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黑体" w:hAnsi="黑体" w:eastAsia="黑体" w:cs="黑体"/>
          <w:lang w:val="en-US" w:eastAsia="zh-CN"/>
        </w:rPr>
        <w:t>5.3.3</w:t>
      </w:r>
      <w:r>
        <w:rPr>
          <w:rFonts w:hint="eastAsia" w:ascii="宋体" w:hAnsi="宋体" w:cs="宋体"/>
          <w:lang w:val="en-US" w:eastAsia="zh-CN"/>
        </w:rPr>
        <w:t xml:space="preserve"> 应定期开展电梯应急处置热线服务工作考核。</w:t>
      </w:r>
    </w:p>
    <w:p w14:paraId="54D3AF2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rPr>
      </w:pPr>
      <w:r>
        <w:rPr>
          <w:rFonts w:hint="eastAsia" w:ascii="黑体" w:hAnsi="黑体" w:eastAsia="黑体" w:cs="黑体"/>
          <w:b w:val="0"/>
          <w:bCs w:val="0"/>
          <w:lang w:val="en-US" w:eastAsia="zh-CN"/>
        </w:rPr>
        <w:t xml:space="preserve">6  </w:t>
      </w:r>
      <w:r>
        <w:rPr>
          <w:rFonts w:hint="eastAsia" w:ascii="黑体" w:hAnsi="黑体" w:eastAsia="黑体" w:cs="黑体"/>
          <w:b w:val="0"/>
          <w:bCs w:val="0"/>
        </w:rPr>
        <w:t>服务内容</w:t>
      </w:r>
    </w:p>
    <w:p w14:paraId="564624AE">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rPr>
      </w:pPr>
      <w:r>
        <w:rPr>
          <w:rFonts w:hint="eastAsia" w:ascii="黑体" w:hAnsi="黑体" w:eastAsia="黑体" w:cs="黑体"/>
          <w:b w:val="0"/>
          <w:bCs w:val="0"/>
          <w:lang w:val="en-US" w:eastAsia="zh-CN"/>
        </w:rPr>
        <w:t>6</w:t>
      </w:r>
      <w:r>
        <w:rPr>
          <w:rFonts w:hint="eastAsia" w:ascii="黑体" w:hAnsi="黑体" w:eastAsia="黑体" w:cs="黑体"/>
          <w:b w:val="0"/>
          <w:bCs w:val="0"/>
        </w:rPr>
        <w:t>.</w:t>
      </w:r>
      <w:r>
        <w:rPr>
          <w:rFonts w:hint="eastAsia" w:ascii="黑体" w:hAnsi="黑体" w:eastAsia="黑体" w:cs="黑体"/>
          <w:b w:val="0"/>
          <w:bCs w:val="0"/>
          <w:lang w:val="en-US" w:eastAsia="zh-CN"/>
        </w:rPr>
        <w:t>1</w:t>
      </w:r>
      <w:r>
        <w:rPr>
          <w:rFonts w:hint="eastAsia" w:ascii="黑体" w:hAnsi="黑体" w:eastAsia="黑体" w:cs="黑体"/>
          <w:b w:val="0"/>
          <w:bCs w:val="0"/>
        </w:rPr>
        <w:t xml:space="preserve"> 受理</w:t>
      </w:r>
    </w:p>
    <w:p w14:paraId="701B884D">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lang w:val="en-US" w:eastAsia="zh-CN"/>
        </w:rPr>
      </w:pPr>
      <w:r>
        <w:rPr>
          <w:rFonts w:hint="eastAsia" w:ascii="黑体" w:hAnsi="黑体" w:eastAsia="黑体" w:cs="黑体"/>
          <w:lang w:val="en-US" w:eastAsia="zh-CN"/>
        </w:rPr>
        <w:t>6.1.1</w:t>
      </w:r>
      <w:r>
        <w:rPr>
          <w:rFonts w:hint="eastAsia" w:ascii="宋体" w:hAnsi="宋体" w:cs="宋体"/>
          <w:lang w:val="en-US" w:eastAsia="zh-CN"/>
        </w:rPr>
        <w:t xml:space="preserve"> 服务受理事项包括但不限于:</w:t>
      </w:r>
    </w:p>
    <w:p w14:paraId="4493B74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lang w:val="en-US" w:eastAsia="zh-CN"/>
        </w:rPr>
      </w:pPr>
      <w:r>
        <w:rPr>
          <w:rFonts w:hint="eastAsia" w:ascii="宋体" w:hAnsi="宋体" w:cs="宋体"/>
          <w:lang w:val="en-US" w:eastAsia="zh-CN"/>
        </w:rPr>
        <w:t>a)电梯困人故障处置；</w:t>
      </w:r>
    </w:p>
    <w:p w14:paraId="2F8ABA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ascii="宋体" w:hAnsi="宋体" w:eastAsia="宋体" w:cs="宋体"/>
          <w:lang w:val="en-US" w:eastAsia="zh-CN"/>
        </w:rPr>
        <w:t>b)对</w:t>
      </w:r>
      <w:r>
        <w:rPr>
          <w:rFonts w:hint="default"/>
          <w:lang w:val="en-US" w:eastAsia="zh-CN"/>
        </w:rPr>
        <w:t>电梯应急处置热线服务提供者及本行业内工作人员在工作作风、工作质量、工作效率方面的意见、建议。</w:t>
      </w:r>
    </w:p>
    <w:p w14:paraId="19C068C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黑体" w:hAnsi="黑体" w:eastAsia="黑体" w:cs="黑体"/>
          <w:lang w:val="en-US" w:eastAsia="zh-CN"/>
        </w:rPr>
        <w:t>6.1.2</w:t>
      </w:r>
      <w:r>
        <w:rPr>
          <w:rFonts w:hint="default"/>
          <w:lang w:val="en-US" w:eastAsia="zh-CN"/>
        </w:rPr>
        <w:t xml:space="preserve"> 电梯应急处置热线的服务方式为电话。</w:t>
      </w:r>
    </w:p>
    <w:p w14:paraId="7F78509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黑体" w:hAnsi="黑体" w:eastAsia="黑体" w:cs="黑体"/>
          <w:lang w:val="en-US" w:eastAsia="zh-CN"/>
        </w:rPr>
      </w:pPr>
      <w:r>
        <w:rPr>
          <w:rFonts w:hint="eastAsia" w:ascii="黑体" w:hAnsi="黑体" w:eastAsia="黑体" w:cs="黑体"/>
          <w:lang w:val="en-US" w:eastAsia="zh-CN"/>
        </w:rPr>
        <w:t xml:space="preserve">6.1.3 </w:t>
      </w:r>
      <w:r>
        <w:rPr>
          <w:rFonts w:hint="eastAsia"/>
          <w:lang w:val="en-US" w:eastAsia="zh-CN"/>
        </w:rPr>
        <w:t>电梯应急处置热线电话受理时，电梯应急处置人员应做到但不限于：</w:t>
      </w:r>
    </w:p>
    <w:p w14:paraId="07B3C3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a)10s之内一次性接通率不低于95%；</w:t>
      </w:r>
    </w:p>
    <w:p w14:paraId="11FEE0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b)在受理事项时应先确认是否有人员被困、被困人数、电梯位置、</w:t>
      </w:r>
      <w:r>
        <w:rPr>
          <w:rFonts w:hint="eastAsia" w:ascii="宋体" w:hAnsi="宋体" w:cs="宋体"/>
          <w:lang w:val="en-US" w:eastAsia="zh-CN"/>
        </w:rPr>
        <w:t>是否受伤</w:t>
      </w:r>
      <w:r>
        <w:rPr>
          <w:rFonts w:hint="eastAsia" w:ascii="宋体" w:hAnsi="宋体" w:eastAsia="宋体" w:cs="宋体"/>
          <w:lang w:val="en-US" w:eastAsia="zh-CN"/>
        </w:rPr>
        <w:t>；</w:t>
      </w:r>
    </w:p>
    <w:p w14:paraId="61EEFA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c)应按规定流程接听电话并进行处置；</w:t>
      </w:r>
    </w:p>
    <w:p w14:paraId="0A7143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d)遇特殊情况应按规定逐级上报,若有人员伤亡等情况时应及时启动三级救援。</w:t>
      </w:r>
    </w:p>
    <w:p w14:paraId="570CF14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黑体" w:hAnsi="黑体" w:eastAsia="黑体" w:cs="黑体"/>
          <w:lang w:val="en-US" w:eastAsia="zh-CN"/>
        </w:rPr>
        <w:t xml:space="preserve">6.1.4 </w:t>
      </w:r>
      <w:r>
        <w:rPr>
          <w:rFonts w:hint="eastAsia"/>
          <w:lang w:val="en-US" w:eastAsia="zh-CN"/>
        </w:rPr>
        <w:t xml:space="preserve"> </w:t>
      </w:r>
      <w:r>
        <w:rPr>
          <w:rFonts w:hint="default"/>
          <w:lang w:val="en-US" w:eastAsia="zh-CN"/>
        </w:rPr>
        <w:t>电梯应急处置热线应对所有来电和回电实行全程自动录音，录音记录应保存</w:t>
      </w:r>
      <w:r>
        <w:rPr>
          <w:rFonts w:hint="eastAsia"/>
          <w:lang w:val="en-US" w:eastAsia="zh-CN"/>
        </w:rPr>
        <w:t>不低</w:t>
      </w:r>
      <w:r>
        <w:rPr>
          <w:rFonts w:hint="eastAsia" w:ascii="宋体" w:hAnsi="宋体" w:eastAsia="宋体" w:cs="宋体"/>
          <w:lang w:val="en-US" w:eastAsia="zh-CN"/>
        </w:rPr>
        <w:t>于3年</w:t>
      </w:r>
      <w:r>
        <w:rPr>
          <w:rFonts w:hint="default"/>
          <w:lang w:val="en-US" w:eastAsia="zh-CN"/>
        </w:rPr>
        <w:t>。</w:t>
      </w:r>
    </w:p>
    <w:p w14:paraId="3985A5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rPr>
      </w:pPr>
      <w:r>
        <w:rPr>
          <w:rFonts w:hint="eastAsia" w:ascii="黑体" w:hAnsi="黑体" w:eastAsia="黑体" w:cs="黑体"/>
          <w:lang w:val="en-US" w:eastAsia="zh-CN"/>
        </w:rPr>
        <w:t>6</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 xml:space="preserve"> 处置</w:t>
      </w:r>
    </w:p>
    <w:p w14:paraId="19AAFB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rPr>
      </w:pPr>
      <w:r>
        <w:rPr>
          <w:rFonts w:hint="eastAsia" w:ascii="黑体" w:hAnsi="黑体" w:eastAsia="黑体" w:cs="黑体"/>
          <w:lang w:val="en-US" w:eastAsia="zh-CN"/>
        </w:rPr>
        <w:t xml:space="preserve">6.2.1 </w:t>
      </w:r>
      <w:r>
        <w:rPr>
          <w:rFonts w:hint="eastAsia" w:ascii="黑体" w:hAnsi="黑体" w:eastAsia="黑体" w:cs="黑体"/>
        </w:rPr>
        <w:t>启动响应机制</w:t>
      </w:r>
    </w:p>
    <w:p w14:paraId="547EB8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eastAsia="zh-CN"/>
        </w:rPr>
      </w:pPr>
      <w:r>
        <w:rPr>
          <w:rFonts w:hint="eastAsia" w:ascii="宋体" w:hAnsi="宋体" w:eastAsia="宋体" w:cs="宋体"/>
        </w:rPr>
        <w:t>电梯应急处置人员接到电话后，应根据实际情况启动相应的响应机制</w:t>
      </w:r>
      <w:r>
        <w:rPr>
          <w:rFonts w:hint="eastAsia" w:ascii="宋体" w:hAnsi="宋体" w:eastAsia="宋体" w:cs="宋体"/>
          <w:lang w:eastAsia="zh-CN"/>
        </w:rPr>
        <w:t>：</w:t>
      </w:r>
    </w:p>
    <w:p w14:paraId="522625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eastAsia="zh-CN"/>
        </w:rPr>
      </w:pPr>
      <w:r>
        <w:rPr>
          <w:rFonts w:hint="eastAsia" w:ascii="宋体" w:hAnsi="宋体" w:eastAsia="宋体" w:cs="宋体"/>
          <w:lang w:val="en-US" w:eastAsia="zh-CN"/>
        </w:rPr>
        <w:t>a)</w:t>
      </w:r>
      <w:r>
        <w:rPr>
          <w:rFonts w:hint="eastAsia" w:ascii="宋体" w:hAnsi="宋体" w:eastAsia="宋体" w:cs="宋体"/>
        </w:rPr>
        <w:t>一级响应。电梯应急处置人员向一级响应单位发出救援指令，将困人电梯的地址、当事人的联系方式等信息告知一级响应单位的救援人员，询问到达时间，并提醒</w:t>
      </w:r>
      <w:r>
        <w:rPr>
          <w:rFonts w:hint="eastAsia" w:ascii="宋体" w:hAnsi="宋体" w:eastAsia="宋体" w:cs="宋体"/>
          <w:lang w:eastAsia="zh-CN"/>
        </w:rPr>
        <w:t>应</w:t>
      </w:r>
      <w:r>
        <w:rPr>
          <w:rFonts w:hint="eastAsia" w:ascii="宋体" w:hAnsi="宋体" w:eastAsia="宋体" w:cs="宋体"/>
        </w:rPr>
        <w:t>在规定时间内到达现场</w:t>
      </w:r>
      <w:r>
        <w:rPr>
          <w:rFonts w:hint="eastAsia" w:ascii="宋体" w:hAnsi="宋体" w:eastAsia="宋体" w:cs="宋体"/>
          <w:lang w:eastAsia="zh-CN"/>
        </w:rPr>
        <w:t>；</w:t>
      </w:r>
    </w:p>
    <w:p w14:paraId="3E95E9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b</w:t>
      </w:r>
      <w:r>
        <w:rPr>
          <w:rFonts w:hint="eastAsia" w:ascii="宋体" w:hAnsi="宋体" w:eastAsia="宋体" w:cs="宋体"/>
          <w:lang w:eastAsia="zh-CN"/>
        </w:rPr>
        <w:t>）</w:t>
      </w:r>
      <w:r>
        <w:rPr>
          <w:rFonts w:hint="eastAsia" w:ascii="宋体" w:hAnsi="宋体" w:eastAsia="宋体" w:cs="宋体"/>
        </w:rPr>
        <w:t>二级响应。一级响应无法启动时，电梯应急处置人员应立即启动二级响应，向二级响应单位</w:t>
      </w:r>
    </w:p>
    <w:p w14:paraId="061848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lang w:eastAsia="zh-CN"/>
        </w:rPr>
      </w:pPr>
      <w:r>
        <w:rPr>
          <w:rFonts w:hint="eastAsia" w:ascii="宋体" w:hAnsi="宋体" w:eastAsia="宋体" w:cs="宋体"/>
        </w:rPr>
        <w:t>发出救援指令的同时不能中断与一级响应单位的联系</w:t>
      </w:r>
      <w:r>
        <w:rPr>
          <w:rFonts w:hint="eastAsia" w:ascii="宋体" w:hAnsi="宋体" w:eastAsia="宋体" w:cs="宋体"/>
          <w:lang w:eastAsia="zh-CN"/>
        </w:rPr>
        <w:t>；</w:t>
      </w:r>
    </w:p>
    <w:p w14:paraId="1CE32B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lang w:val="en-US" w:eastAsia="zh-CN"/>
        </w:rPr>
        <w:t>c)</w:t>
      </w:r>
      <w:r>
        <w:rPr>
          <w:rFonts w:hint="eastAsia" w:ascii="宋体" w:hAnsi="宋体" w:eastAsia="宋体" w:cs="宋体"/>
        </w:rPr>
        <w:t>三级响应。出现人员伤亡时电梯应急处置人员应立即启动三级响应，</w:t>
      </w:r>
      <w:r>
        <w:rPr>
          <w:rFonts w:hint="eastAsia" w:ascii="宋体" w:hAnsi="宋体" w:cs="宋体"/>
          <w:lang w:val="en-US" w:eastAsia="zh-CN"/>
        </w:rPr>
        <w:t>通知相关部门</w:t>
      </w:r>
      <w:r>
        <w:rPr>
          <w:rFonts w:hint="eastAsia" w:ascii="宋体" w:hAnsi="宋体" w:eastAsia="宋体" w:cs="宋体"/>
        </w:rPr>
        <w:t>实施联动救援。</w:t>
      </w:r>
    </w:p>
    <w:p w14:paraId="497EFBBF">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6.2.2  自行脱困</w:t>
      </w:r>
    </w:p>
    <w:p w14:paraId="7F14DE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被困人员致电电梯应急处置热线后，电梯已自行恢复正常或者救援人员已在现场，经电梯应急处置人员回访确认被困人员已经安全获救后,应在应急处置平台信息系统完善相关数据,并提醒一级响应单位加强对该部电梯的巡查维护。</w:t>
      </w:r>
    </w:p>
    <w:p w14:paraId="5E10BD2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6.2.3  救援实施</w:t>
      </w:r>
    </w:p>
    <w:p w14:paraId="29BF22A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救援人员到达现场后，向电梯应急处置服务平台反馈到场时间，按照规范程序解救被困人员。</w:t>
      </w:r>
    </w:p>
    <w:p w14:paraId="2A4706A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6.2.4 结果确认</w:t>
      </w:r>
    </w:p>
    <w:p w14:paraId="72C5A27A">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结果确认</w:t>
      </w:r>
      <w:r>
        <w:rPr>
          <w:rFonts w:hint="eastAsia"/>
          <w:lang w:val="en-US" w:eastAsia="zh-CN"/>
        </w:rPr>
        <w:t>应</w:t>
      </w:r>
      <w:r>
        <w:rPr>
          <w:rFonts w:hint="default"/>
          <w:lang w:val="en-US" w:eastAsia="zh-CN"/>
        </w:rPr>
        <w:t>包括</w:t>
      </w:r>
      <w:r>
        <w:rPr>
          <w:rFonts w:hint="eastAsia"/>
          <w:lang w:val="en-US" w:eastAsia="zh-CN"/>
        </w:rPr>
        <w:t>以下内容</w:t>
      </w:r>
      <w:r>
        <w:rPr>
          <w:rFonts w:hint="default"/>
          <w:lang w:val="en-US" w:eastAsia="zh-CN"/>
        </w:rPr>
        <w:t>:</w:t>
      </w:r>
    </w:p>
    <w:p w14:paraId="6FE95CB3">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a)电梯应急处置人员及时掌握救援情况，并在应急处置平台中记录;</w:t>
      </w:r>
    </w:p>
    <w:p w14:paraId="3DF88E8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ascii="宋体" w:hAnsi="宋体" w:eastAsia="宋体" w:cs="宋体"/>
          <w:lang w:val="en-US" w:eastAsia="zh-CN"/>
        </w:rPr>
        <w:t>b)电梯</w:t>
      </w:r>
      <w:r>
        <w:rPr>
          <w:rFonts w:hint="default"/>
          <w:lang w:val="en-US" w:eastAsia="zh-CN"/>
        </w:rPr>
        <w:t>应急处置人员确认救援结果、电梯困人故障原因及排除情况。</w:t>
      </w:r>
    </w:p>
    <w:p w14:paraId="2EA92DF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6</w:t>
      </w:r>
      <w:r>
        <w:rPr>
          <w:rFonts w:hint="eastAsia" w:ascii="黑体" w:hAnsi="黑体" w:eastAsia="黑体" w:cs="黑体"/>
          <w:b w:val="0"/>
          <w:bCs w:val="0"/>
        </w:rPr>
        <w:t>.</w:t>
      </w:r>
      <w:r>
        <w:rPr>
          <w:rFonts w:hint="eastAsia" w:ascii="黑体" w:hAnsi="黑体" w:eastAsia="黑体" w:cs="黑体"/>
          <w:b w:val="0"/>
          <w:bCs w:val="0"/>
          <w:lang w:val="en-US" w:eastAsia="zh-CN"/>
        </w:rPr>
        <w:t>3</w:t>
      </w:r>
      <w:r>
        <w:rPr>
          <w:rFonts w:hint="eastAsia" w:ascii="黑体" w:hAnsi="黑体" w:eastAsia="黑体" w:cs="黑体"/>
          <w:b w:val="0"/>
          <w:bCs w:val="0"/>
        </w:rPr>
        <w:t xml:space="preserve"> </w:t>
      </w:r>
      <w:r>
        <w:rPr>
          <w:rFonts w:hint="eastAsia" w:ascii="黑体" w:hAnsi="黑体" w:eastAsia="黑体" w:cs="黑体"/>
          <w:b w:val="0"/>
          <w:bCs w:val="0"/>
          <w:lang w:val="en-US" w:eastAsia="zh-CN"/>
        </w:rPr>
        <w:t xml:space="preserve"> </w:t>
      </w:r>
      <w:r>
        <w:rPr>
          <w:rFonts w:hint="eastAsia" w:ascii="黑体" w:hAnsi="黑体" w:eastAsia="黑体" w:cs="黑体"/>
          <w:b w:val="0"/>
          <w:bCs w:val="0"/>
        </w:rPr>
        <w:t>回访</w:t>
      </w:r>
    </w:p>
    <w:p w14:paraId="744F637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r>
        <w:rPr>
          <w:rFonts w:hint="eastAsia" w:ascii="黑体" w:hAnsi="黑体" w:eastAsia="黑体" w:cs="黑体"/>
          <w:b w:val="0"/>
          <w:bCs w:val="0"/>
          <w:lang w:val="en-US" w:eastAsia="zh-CN"/>
        </w:rPr>
        <w:t>6</w:t>
      </w:r>
      <w:r>
        <w:rPr>
          <w:rFonts w:hint="eastAsia" w:ascii="黑体" w:hAnsi="黑体" w:eastAsia="黑体" w:cs="黑体"/>
          <w:b w:val="0"/>
          <w:bCs w:val="0"/>
        </w:rPr>
        <w:t>.</w:t>
      </w:r>
      <w:r>
        <w:rPr>
          <w:rFonts w:hint="eastAsia" w:ascii="黑体" w:hAnsi="黑体" w:eastAsia="黑体" w:cs="黑体"/>
          <w:b w:val="0"/>
          <w:bCs w:val="0"/>
          <w:lang w:val="en-US" w:eastAsia="zh-CN"/>
        </w:rPr>
        <w:t>3</w:t>
      </w:r>
      <w:r>
        <w:rPr>
          <w:rFonts w:hint="eastAsia" w:ascii="黑体" w:hAnsi="黑体" w:eastAsia="黑体" w:cs="黑体"/>
          <w:b w:val="0"/>
          <w:bCs w:val="0"/>
        </w:rPr>
        <w:t>.1</w:t>
      </w:r>
      <w:r>
        <w:rPr>
          <w:rFonts w:hint="eastAsia" w:ascii="黑体" w:hAnsi="黑体" w:eastAsia="黑体" w:cs="黑体"/>
          <w:b w:val="0"/>
          <w:bCs w:val="0"/>
          <w:lang w:val="en-US" w:eastAsia="zh-CN"/>
        </w:rPr>
        <w:t xml:space="preserve">  </w:t>
      </w:r>
      <w:r>
        <w:rPr>
          <w:rFonts w:hint="eastAsia"/>
        </w:rPr>
        <w:t>电梯应急处置热线服务提供者应定期对服务对象进行回访，了解对电梯维保单位和使用单位等 承办部门的办理情况。</w:t>
      </w:r>
    </w:p>
    <w:p w14:paraId="402D306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r>
        <w:rPr>
          <w:rFonts w:hint="eastAsia" w:ascii="黑体" w:hAnsi="黑体" w:eastAsia="黑体" w:cs="黑体"/>
          <w:b w:val="0"/>
          <w:bCs w:val="0"/>
          <w:lang w:val="en-US" w:eastAsia="zh-CN"/>
        </w:rPr>
        <w:t>6</w:t>
      </w:r>
      <w:r>
        <w:rPr>
          <w:rFonts w:hint="eastAsia" w:ascii="黑体" w:hAnsi="黑体" w:eastAsia="黑体" w:cs="黑体"/>
          <w:b w:val="0"/>
          <w:bCs w:val="0"/>
        </w:rPr>
        <w:t>.</w:t>
      </w:r>
      <w:r>
        <w:rPr>
          <w:rFonts w:hint="eastAsia" w:ascii="黑体" w:hAnsi="黑体" w:eastAsia="黑体" w:cs="黑体"/>
          <w:b w:val="0"/>
          <w:bCs w:val="0"/>
          <w:lang w:val="en-US" w:eastAsia="zh-CN"/>
        </w:rPr>
        <w:t>3</w:t>
      </w:r>
      <w:r>
        <w:rPr>
          <w:rFonts w:hint="eastAsia" w:ascii="黑体" w:hAnsi="黑体" w:eastAsia="黑体" w:cs="黑体"/>
          <w:b w:val="0"/>
          <w:bCs w:val="0"/>
        </w:rPr>
        <w:t>.2</w:t>
      </w:r>
      <w:r>
        <w:rPr>
          <w:rFonts w:hint="eastAsia" w:ascii="黑体" w:hAnsi="黑体" w:eastAsia="黑体" w:cs="黑体"/>
          <w:b w:val="0"/>
          <w:bCs w:val="0"/>
          <w:lang w:val="en-US" w:eastAsia="zh-CN"/>
        </w:rPr>
        <w:t xml:space="preserve">  </w:t>
      </w:r>
      <w:r>
        <w:rPr>
          <w:rFonts w:hint="eastAsia"/>
        </w:rPr>
        <w:t>电梯应急处置员应在救援实施后的</w:t>
      </w:r>
      <w:r>
        <w:rPr>
          <w:rFonts w:hint="eastAsia" w:ascii="宋体" w:hAnsi="宋体" w:eastAsia="宋体" w:cs="宋体"/>
        </w:rPr>
        <w:t>3个</w:t>
      </w:r>
      <w:r>
        <w:rPr>
          <w:rFonts w:hint="eastAsia"/>
        </w:rPr>
        <w:t>工作日内对被困人员进行抽样回访。</w:t>
      </w:r>
    </w:p>
    <w:p w14:paraId="3781CDB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r>
        <w:rPr>
          <w:rFonts w:hint="eastAsia" w:ascii="黑体" w:hAnsi="黑体" w:eastAsia="黑体" w:cs="黑体"/>
          <w:b w:val="0"/>
          <w:bCs w:val="0"/>
          <w:lang w:val="en-US" w:eastAsia="zh-CN"/>
        </w:rPr>
        <w:t>6</w:t>
      </w:r>
      <w:r>
        <w:rPr>
          <w:rFonts w:hint="eastAsia" w:ascii="黑体" w:hAnsi="黑体" w:eastAsia="黑体" w:cs="黑体"/>
          <w:b w:val="0"/>
          <w:bCs w:val="0"/>
        </w:rPr>
        <w:t>.</w:t>
      </w:r>
      <w:r>
        <w:rPr>
          <w:rFonts w:hint="eastAsia" w:ascii="黑体" w:hAnsi="黑体" w:eastAsia="黑体" w:cs="黑体"/>
          <w:b w:val="0"/>
          <w:bCs w:val="0"/>
          <w:lang w:val="en-US" w:eastAsia="zh-CN"/>
        </w:rPr>
        <w:t>3</w:t>
      </w:r>
      <w:r>
        <w:rPr>
          <w:rFonts w:hint="eastAsia" w:ascii="黑体" w:hAnsi="黑体" w:eastAsia="黑体" w:cs="黑体"/>
          <w:b w:val="0"/>
          <w:bCs w:val="0"/>
        </w:rPr>
        <w:t>.3</w:t>
      </w:r>
      <w:r>
        <w:rPr>
          <w:rFonts w:hint="eastAsia" w:ascii="黑体" w:hAnsi="黑体" w:eastAsia="黑体" w:cs="黑体"/>
          <w:b w:val="0"/>
          <w:bCs w:val="0"/>
          <w:lang w:val="en-US" w:eastAsia="zh-CN"/>
        </w:rPr>
        <w:t xml:space="preserve"> </w:t>
      </w:r>
      <w:r>
        <w:rPr>
          <w:rFonts w:hint="eastAsia"/>
          <w:b/>
          <w:bCs/>
          <w:lang w:val="en-US" w:eastAsia="zh-CN"/>
        </w:rPr>
        <w:t xml:space="preserve"> </w:t>
      </w:r>
      <w:r>
        <w:rPr>
          <w:rFonts w:hint="eastAsia"/>
        </w:rPr>
        <w:t xml:space="preserve">回访内容应包括办理过程是否满意、救援过程是否满意、结果是否满意等，并做好回访记录。 </w:t>
      </w:r>
    </w:p>
    <w:p w14:paraId="357DEBB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rPr>
      </w:pPr>
      <w:r>
        <w:rPr>
          <w:rFonts w:hint="eastAsia" w:ascii="黑体" w:hAnsi="黑体" w:eastAsia="黑体" w:cs="黑体"/>
          <w:b w:val="0"/>
          <w:bCs w:val="0"/>
          <w:lang w:val="en-US" w:eastAsia="zh-CN"/>
        </w:rPr>
        <w:t>6</w:t>
      </w:r>
      <w:r>
        <w:rPr>
          <w:rFonts w:hint="eastAsia" w:ascii="黑体" w:hAnsi="黑体" w:eastAsia="黑体" w:cs="黑体"/>
          <w:b w:val="0"/>
          <w:bCs w:val="0"/>
        </w:rPr>
        <w:t>.</w:t>
      </w:r>
      <w:r>
        <w:rPr>
          <w:rFonts w:hint="eastAsia" w:ascii="黑体" w:hAnsi="黑体" w:eastAsia="黑体" w:cs="黑体"/>
          <w:b w:val="0"/>
          <w:bCs w:val="0"/>
          <w:lang w:val="en-US" w:eastAsia="zh-CN"/>
        </w:rPr>
        <w:t>3</w:t>
      </w:r>
      <w:r>
        <w:rPr>
          <w:rFonts w:hint="eastAsia" w:ascii="黑体" w:hAnsi="黑体" w:eastAsia="黑体" w:cs="黑体"/>
          <w:b w:val="0"/>
          <w:bCs w:val="0"/>
        </w:rPr>
        <w:t>.4</w:t>
      </w:r>
      <w:r>
        <w:rPr>
          <w:rFonts w:hint="eastAsia" w:ascii="黑体" w:hAnsi="黑体" w:eastAsia="黑体" w:cs="黑体"/>
          <w:b w:val="0"/>
          <w:bCs w:val="0"/>
          <w:lang w:val="en-US" w:eastAsia="zh-CN"/>
        </w:rPr>
        <w:t xml:space="preserve"> </w:t>
      </w:r>
      <w:r>
        <w:rPr>
          <w:rFonts w:hint="eastAsia"/>
          <w:b/>
          <w:bCs/>
          <w:lang w:val="en-US" w:eastAsia="zh-CN"/>
        </w:rPr>
        <w:t xml:space="preserve"> </w:t>
      </w:r>
      <w:r>
        <w:rPr>
          <w:rFonts w:hint="eastAsia"/>
        </w:rPr>
        <w:t>回访的方法主要包括</w:t>
      </w:r>
      <w:r>
        <w:rPr>
          <w:rFonts w:hint="eastAsia"/>
          <w:lang w:eastAsia="zh-CN"/>
        </w:rPr>
        <w:t>以下内容</w:t>
      </w:r>
      <w:r>
        <w:rPr>
          <w:rFonts w:hint="eastAsia"/>
        </w:rPr>
        <w:t>：</w:t>
      </w:r>
    </w:p>
    <w:p w14:paraId="728E12A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a) 电话回访</w:t>
      </w:r>
      <w:r>
        <w:rPr>
          <w:rFonts w:hint="eastAsia" w:ascii="宋体" w:hAnsi="宋体" w:eastAsia="宋体" w:cs="宋体"/>
          <w:lang w:eastAsia="zh-CN"/>
        </w:rPr>
        <w:t>；</w:t>
      </w:r>
    </w:p>
    <w:p w14:paraId="3301EBB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b) 网上调查</w:t>
      </w:r>
      <w:r>
        <w:rPr>
          <w:rFonts w:hint="eastAsia" w:ascii="宋体" w:hAnsi="宋体" w:eastAsia="宋体" w:cs="宋体"/>
          <w:lang w:eastAsia="zh-CN"/>
        </w:rPr>
        <w:t>；</w:t>
      </w:r>
    </w:p>
    <w:p w14:paraId="133E82F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c) 媒体与第三方机构监督</w:t>
      </w:r>
      <w:r>
        <w:rPr>
          <w:rFonts w:hint="eastAsia" w:ascii="宋体" w:hAnsi="宋体" w:eastAsia="宋体" w:cs="宋体"/>
          <w:lang w:eastAsia="zh-CN"/>
        </w:rPr>
        <w:t>；</w:t>
      </w:r>
    </w:p>
    <w:p w14:paraId="07F3C18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d) 向服务对象发放调查问卷</w:t>
      </w:r>
      <w:r>
        <w:rPr>
          <w:rFonts w:hint="eastAsia" w:ascii="宋体" w:hAnsi="宋体" w:eastAsia="宋体" w:cs="宋体"/>
          <w:lang w:eastAsia="zh-CN"/>
        </w:rPr>
        <w:t>；</w:t>
      </w:r>
    </w:p>
    <w:p w14:paraId="474A301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e) 其他。</w:t>
      </w:r>
    </w:p>
    <w:p w14:paraId="7B9005B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6.4  归档</w:t>
      </w:r>
    </w:p>
    <w:p w14:paraId="14C78F41">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auto"/>
        <w:rPr>
          <w:rFonts w:hint="eastAsia" w:ascii="宋体" w:hAnsi="宋体" w:eastAsia="宋体" w:cs="宋体"/>
          <w:lang w:val="en-US" w:eastAsia="zh-CN"/>
        </w:rPr>
      </w:pPr>
      <w:r>
        <w:rPr>
          <w:rFonts w:hint="eastAsia" w:ascii="宋体" w:hAnsi="宋体" w:eastAsia="宋体" w:cs="宋体"/>
          <w:lang w:val="en-US" w:eastAsia="zh-CN"/>
        </w:rPr>
        <w:t>电梯应急处置人员应对应急救援服务进行跟踪记录并对已办结救援服务事项填写电梯故障处置工单进行归档。</w:t>
      </w:r>
    </w:p>
    <w:p w14:paraId="0454E3D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lang w:val="en-US" w:eastAsia="zh-CN"/>
        </w:rPr>
      </w:pPr>
      <w:r>
        <w:rPr>
          <w:rFonts w:hint="eastAsia" w:ascii="黑体" w:hAnsi="黑体" w:eastAsia="黑体" w:cs="黑体"/>
          <w:lang w:val="en-US" w:eastAsia="zh-CN"/>
        </w:rPr>
        <w:t>6.5  电梯故障处置工单</w:t>
      </w:r>
    </w:p>
    <w:p w14:paraId="39AAD92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黑体" w:hAnsi="黑体" w:eastAsia="黑体" w:cs="黑体"/>
          <w:lang w:val="en-US" w:eastAsia="zh-CN"/>
        </w:rPr>
        <w:t xml:space="preserve">6.5.1 </w:t>
      </w:r>
      <w:r>
        <w:rPr>
          <w:rFonts w:hint="eastAsia"/>
          <w:lang w:val="en-US" w:eastAsia="zh-CN"/>
        </w:rPr>
        <w:t xml:space="preserve"> 应填写电梯故障处置工单，内容包括但不限于:</w:t>
      </w:r>
    </w:p>
    <w:p w14:paraId="4503054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a) 电梯位置</w:t>
      </w:r>
      <w:r>
        <w:rPr>
          <w:rFonts w:hint="eastAsia" w:ascii="宋体" w:hAnsi="宋体" w:eastAsia="宋体" w:cs="宋体"/>
          <w:lang w:eastAsia="zh-CN"/>
        </w:rPr>
        <w:t>；</w:t>
      </w:r>
    </w:p>
    <w:p w14:paraId="45BB165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b) 故障原因</w:t>
      </w:r>
      <w:r>
        <w:rPr>
          <w:rFonts w:hint="eastAsia" w:ascii="宋体" w:hAnsi="宋体" w:cs="宋体"/>
          <w:lang w:eastAsia="zh-CN"/>
        </w:rPr>
        <w:t>及</w:t>
      </w:r>
      <w:r>
        <w:rPr>
          <w:rFonts w:hint="eastAsia"/>
          <w:lang w:val="en-US" w:eastAsia="zh-CN"/>
        </w:rPr>
        <w:t>问题描述</w:t>
      </w:r>
      <w:r>
        <w:rPr>
          <w:rFonts w:hint="eastAsia" w:ascii="宋体" w:hAnsi="宋体" w:eastAsia="宋体" w:cs="宋体"/>
          <w:lang w:eastAsia="zh-CN"/>
        </w:rPr>
        <w:t>；</w:t>
      </w:r>
    </w:p>
    <w:p w14:paraId="39296AB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c) 被困人员人数</w:t>
      </w:r>
      <w:r>
        <w:rPr>
          <w:rFonts w:hint="eastAsia" w:ascii="宋体" w:hAnsi="宋体" w:eastAsia="宋体" w:cs="宋体"/>
          <w:lang w:eastAsia="zh-CN"/>
        </w:rPr>
        <w:t>；</w:t>
      </w:r>
    </w:p>
    <w:p w14:paraId="73ED6EE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eastAsia="zh-CN"/>
        </w:rPr>
      </w:pPr>
      <w:r>
        <w:rPr>
          <w:rFonts w:hint="eastAsia" w:ascii="宋体" w:hAnsi="宋体" w:eastAsia="宋体" w:cs="宋体"/>
        </w:rPr>
        <w:t>d) 联系方式</w:t>
      </w:r>
      <w:r>
        <w:rPr>
          <w:rFonts w:hint="eastAsia" w:ascii="宋体" w:hAnsi="宋体" w:eastAsia="宋体" w:cs="宋体"/>
          <w:lang w:eastAsia="zh-CN"/>
        </w:rPr>
        <w:t>；</w:t>
      </w:r>
    </w:p>
    <w:p w14:paraId="30A0BF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e) 其他。</w:t>
      </w:r>
    </w:p>
    <w:p w14:paraId="65BF26F0">
      <w:pPr>
        <w:pStyle w:val="2"/>
        <w:rPr>
          <w:rFonts w:hint="default" w:eastAsia="宋体"/>
          <w:lang w:val="en-US" w:eastAsia="zh-CN"/>
        </w:rPr>
      </w:pPr>
      <w:r>
        <w:rPr>
          <w:rFonts w:hint="eastAsia" w:ascii="黑体" w:hAnsi="黑体" w:eastAsia="黑体" w:cs="黑体"/>
          <w:lang w:val="en-US" w:eastAsia="zh-CN"/>
        </w:rPr>
        <w:t xml:space="preserve">6.5.2 </w:t>
      </w:r>
      <w:r>
        <w:rPr>
          <w:rFonts w:hint="eastAsia" w:ascii="宋体" w:hAnsi="宋体" w:cs="宋体"/>
          <w:lang w:val="en-US" w:eastAsia="zh-CN"/>
        </w:rPr>
        <w:t xml:space="preserve"> 故障原因的填写应符合DB32/T 4130-2021中附录B要求。</w:t>
      </w:r>
    </w:p>
    <w:p w14:paraId="5B42B79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7  服务评价与改进</w:t>
      </w:r>
    </w:p>
    <w:p w14:paraId="617B18D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CN"/>
        </w:rPr>
      </w:pPr>
      <w:r>
        <w:rPr>
          <w:rFonts w:hint="eastAsia" w:ascii="宋体" w:hAnsi="宋体" w:eastAsia="宋体" w:cs="宋体"/>
          <w:b w:val="0"/>
          <w:bCs w:val="0"/>
          <w:lang w:val="en-US" w:eastAsia="zh-CN"/>
        </w:rPr>
        <w:t>对电梯应急处置热线的评价与改进应符合GB/T 33359-2016中第7章的要求。</w:t>
      </w:r>
    </w:p>
    <w:p w14:paraId="40B126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Cs w:val="21"/>
          <w:lang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2065655</wp:posOffset>
                </wp:positionH>
                <wp:positionV relativeFrom="paragraph">
                  <wp:posOffset>113665</wp:posOffset>
                </wp:positionV>
                <wp:extent cx="1581150" cy="2540"/>
                <wp:effectExtent l="0" t="0" r="0" b="0"/>
                <wp:wrapNone/>
                <wp:docPr id="7" name="直接连接符 7"/>
                <wp:cNvGraphicFramePr/>
                <a:graphic xmlns:a="http://schemas.openxmlformats.org/drawingml/2006/main">
                  <a:graphicData uri="http://schemas.microsoft.com/office/word/2010/wordprocessingShape">
                    <wps:wsp>
                      <wps:cNvCnPr/>
                      <wps:spPr>
                        <a:xfrm>
                          <a:off x="3413760" y="8157210"/>
                          <a:ext cx="1581150" cy="25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62.65pt;margin-top:8.95pt;height:0.2pt;width:124.5pt;z-index:251662336;mso-width-relative:page;mso-height-relative:page;" filled="f" stroked="t" coordsize="21600,21600" o:gfxdata="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Hl+mT1wAAAAkBAAAPAAAAAAAAAAEAIAAAACIAAABkcnMvZG93bnJldi54bWxQSwECFAAU&#10;AAAACACHTuJAabW2h/IBAADAAwAADgAAAAAAAAABACAAAAAmAQAAZHJzL2Uyb0RvYy54bWxQSwUG&#10;AAAAAAYABgBZAQAAigUAAAAA&#10;">
                <v:fill on="f" focussize="0,0"/>
                <v:stroke weight="0.5pt" color="#000000 [3200]" miterlimit="8" joinstyle="miter"/>
                <v:imagedata o:title=""/>
                <o:lock v:ext="edit" aspectratio="f"/>
              </v:line>
            </w:pict>
          </mc:Fallback>
        </mc:AlternateContent>
      </w:r>
    </w:p>
    <w:p w14:paraId="3C8949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黑体" w:hAnsi="黑体" w:eastAsia="黑体"/>
          <w:color w:val="000000"/>
          <w:szCs w:val="21"/>
          <w:lang w:val="en-US" w:eastAsia="zh-CN"/>
        </w:rPr>
      </w:pPr>
    </w:p>
    <w:sectPr>
      <w:headerReference r:id="rId8" w:type="default"/>
      <w:footerReference r:id="rId9" w:type="default"/>
      <w:pgSz w:w="11906" w:h="16838"/>
      <w:pgMar w:top="567" w:right="1134" w:bottom="1134" w:left="1418" w:header="1418" w:footer="1134" w:gutter="0"/>
      <w:pgBorders>
        <w:top w:val="none" w:sz="0" w:space="0"/>
        <w:left w:val="none" w:sz="0" w:space="0"/>
        <w:bottom w:val="none" w:sz="0" w:space="0"/>
        <w:right w:val="none" w:sz="0" w:space="0"/>
      </w:pgBorders>
      <w:pgNumType w:fmt="decimal"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7A63B">
    <w:pPr>
      <w:pStyle w:val="32"/>
    </w:pPr>
    <w:r>
      <mc:AlternateContent>
        <mc:Choice Requires="wps">
          <w:drawing>
            <wp:anchor distT="0" distB="0" distL="114300" distR="114300" simplePos="0" relativeHeight="251661312" behindDoc="0" locked="0" layoutInCell="1" allowOverlap="1">
              <wp:simplePos x="0" y="0"/>
              <wp:positionH relativeFrom="margin">
                <wp:posOffset>5836920</wp:posOffset>
              </wp:positionH>
              <wp:positionV relativeFrom="paragraph">
                <wp:posOffset>18415</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73A7623">
                          <w:pPr>
                            <w:pStyle w:val="3"/>
                          </w:pPr>
                        </w:p>
                      </w:txbxContent>
                    </wps:txbx>
                    <wps:bodyPr wrap="none" lIns="0" tIns="0" rIns="0" bIns="0" upright="1">
                      <a:spAutoFit/>
                    </wps:bodyPr>
                  </wps:wsp>
                </a:graphicData>
              </a:graphic>
            </wp:anchor>
          </w:drawing>
        </mc:Choice>
        <mc:Fallback>
          <w:pict>
            <v:shape id="_x0000_s1026" o:spid="_x0000_s1026" o:spt="202" type="#_x0000_t202" style="position:absolute;left:0pt;margin-left:459.6pt;margin-top:1.45pt;height:144pt;width:144pt;mso-position-horizontal-relative:margin;mso-wrap-style:none;z-index:251661312;mso-width-relative:page;mso-height-relative:page;" filled="f" stroked="f" coordsize="21600,21600" o:gfxdata="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q7VmnVAAAACgEAAA8AAAAAAAAAAQAgAAAAIgAA&#10;AGRycy9kb3ducmV2LnhtbFBLAQIUABQAAAAIAIdO4kBtOCDV0gEAAKQDAAAOAAAAAAAAAAEAIAAA&#10;ACQBAABkcnMvZTJvRG9jLnhtbFBLBQYAAAAABgAGAFkBAABoBQAAAAA=&#10;">
              <v:fill on="f" focussize="0,0"/>
              <v:stroke on="f" weight="0.5pt"/>
              <v:imagedata o:title=""/>
              <o:lock v:ext="edit" aspectratio="f"/>
              <v:textbox inset="0mm,0mm,0mm,0mm" style="mso-fit-shape-to-text:t;">
                <w:txbxContent>
                  <w:p w14:paraId="673A7623">
                    <w:pPr>
                      <w:pStyle w:val="3"/>
                    </w:pP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9BB4B9">
                          <w:pPr>
                            <w:pStyle w:val="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49BB4B9">
                    <w:pPr>
                      <w:pStyle w:val="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1235C">
    <w:pPr>
      <w:pStyle w:val="3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C7F1B9">
                          <w:pPr>
                            <w:pStyle w:val="32"/>
                          </w:pPr>
                          <w:r>
                            <w:fldChar w:fldCharType="begin"/>
                          </w:r>
                          <w:r>
                            <w:instrText xml:space="preserve"> PAGE  \* MERGEFORMAT </w:instrText>
                          </w:r>
                          <w:r>
                            <w:fldChar w:fldCharType="separate"/>
                          </w:r>
                          <w:r>
                            <w:t>14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h/JjIAQAAmQMAAA4AAAAAAAAAAQAgAAAAHgEAAGRycy9lMm9Eb2Mu&#10;eG1sUEsFBgAAAAAGAAYAWQEAAFgFAAAAAA==&#10;">
              <v:fill on="f" focussize="0,0"/>
              <v:stroke on="f"/>
              <v:imagedata o:title=""/>
              <o:lock v:ext="edit" aspectratio="f"/>
              <v:textbox inset="0mm,0mm,0mm,0mm" style="mso-fit-shape-to-text:t;">
                <w:txbxContent>
                  <w:p w14:paraId="46C7F1B9">
                    <w:pPr>
                      <w:pStyle w:val="32"/>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291FD">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A3035">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1AE30">
    <w:pPr>
      <w:pStyle w:val="4"/>
      <w:pBdr>
        <w:top w:val="none" w:color="auto" w:sz="0" w:space="0"/>
        <w:left w:val="none" w:color="auto" w:sz="0" w:space="0"/>
        <w:bottom w:val="none" w:color="auto" w:sz="0" w:space="0"/>
        <w:right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E77BB">
    <w:pPr>
      <w:pStyle w:val="31"/>
      <w:rPr>
        <w:rFonts w:hint="default" w:eastAsia="黑体"/>
        <w:lang w:val="en-US" w:eastAsia="zh-CN"/>
      </w:rPr>
    </w:pPr>
    <w:r>
      <w:t>DB3207/TXXXX—</w:t>
    </w:r>
    <w:r>
      <w:rPr>
        <w:rFonts w:hint="eastAsia"/>
        <w:lang w:val="en-US" w:eastAsia="zh-CN"/>
      </w:rPr>
      <w:t>2024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FF72A">
    <w:pPr>
      <w:pStyle w:val="31"/>
      <w:rPr>
        <w:rFonts w:hint="default" w:eastAsia="黑体"/>
        <w:lang w:val="en-US" w:eastAsia="zh-CN"/>
      </w:rPr>
    </w:pPr>
    <w:r>
      <w:t>DB3207/T</w:t>
    </w:r>
    <w:r>
      <w:rPr>
        <w:rFonts w:hint="eastAsia"/>
        <w:lang w:val="en-US" w:eastAsia="zh-CN"/>
      </w:rPr>
      <w:t xml:space="preserve"> </w:t>
    </w:r>
    <w:r>
      <w:t>XXXX—</w:t>
    </w:r>
    <w:r>
      <w:rPr>
        <w:rFonts w:hint="eastAsia"/>
        <w:lang w:val="en-US" w:eastAsia="zh-CN"/>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9"/>
      <w:suff w:val="nothing"/>
      <w:lvlText w:val="%1.%2　"/>
      <w:lvlJc w:val="left"/>
      <w:pPr>
        <w:ind w:left="0" w:firstLine="0"/>
      </w:pPr>
      <w:rPr>
        <w:rFonts w:hint="default"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9D7AEB8"/>
    <w:multiLevelType w:val="multilevel"/>
    <w:tmpl w:val="39D7AEB8"/>
    <w:lvl w:ilvl="0" w:tentative="0">
      <w:start w:val="1"/>
      <w:numFmt w:val="lowerLetter"/>
      <w:pStyle w:val="40"/>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YjM3OWRlNzBjNDg5NDhmY2ZiNjE4ZDYwN2I2YTkifQ=="/>
  </w:docVars>
  <w:rsids>
    <w:rsidRoot w:val="00000000"/>
    <w:rsid w:val="000948D1"/>
    <w:rsid w:val="001166C2"/>
    <w:rsid w:val="00682B6A"/>
    <w:rsid w:val="008D46EC"/>
    <w:rsid w:val="00965B4F"/>
    <w:rsid w:val="00B175E9"/>
    <w:rsid w:val="013750A1"/>
    <w:rsid w:val="016B49B0"/>
    <w:rsid w:val="01E94041"/>
    <w:rsid w:val="022665A2"/>
    <w:rsid w:val="02FA4BEA"/>
    <w:rsid w:val="04F634C1"/>
    <w:rsid w:val="059557CB"/>
    <w:rsid w:val="05A56B28"/>
    <w:rsid w:val="06197AB7"/>
    <w:rsid w:val="08204B4E"/>
    <w:rsid w:val="08262AF7"/>
    <w:rsid w:val="08680A2E"/>
    <w:rsid w:val="08EA2337"/>
    <w:rsid w:val="09064843"/>
    <w:rsid w:val="0A7B6CC7"/>
    <w:rsid w:val="0A9610CA"/>
    <w:rsid w:val="0AA2710B"/>
    <w:rsid w:val="0ACB549F"/>
    <w:rsid w:val="0B1B7D7A"/>
    <w:rsid w:val="0B1E2FD8"/>
    <w:rsid w:val="0BA17079"/>
    <w:rsid w:val="0BEC6947"/>
    <w:rsid w:val="0C412CD6"/>
    <w:rsid w:val="0D8E04F1"/>
    <w:rsid w:val="0DE44F11"/>
    <w:rsid w:val="0F671BE9"/>
    <w:rsid w:val="0F825E34"/>
    <w:rsid w:val="0FE91A0F"/>
    <w:rsid w:val="10D74D42"/>
    <w:rsid w:val="10FE598E"/>
    <w:rsid w:val="1112331A"/>
    <w:rsid w:val="11535CDA"/>
    <w:rsid w:val="12DE64A6"/>
    <w:rsid w:val="1481784C"/>
    <w:rsid w:val="15617D83"/>
    <w:rsid w:val="1596468B"/>
    <w:rsid w:val="16006128"/>
    <w:rsid w:val="16266312"/>
    <w:rsid w:val="16603C5E"/>
    <w:rsid w:val="18117AF1"/>
    <w:rsid w:val="18616F2E"/>
    <w:rsid w:val="188624F1"/>
    <w:rsid w:val="18D15B57"/>
    <w:rsid w:val="198A78DD"/>
    <w:rsid w:val="198B4B17"/>
    <w:rsid w:val="1A371DE8"/>
    <w:rsid w:val="1B0442B2"/>
    <w:rsid w:val="1DB82ACF"/>
    <w:rsid w:val="1EBA7398"/>
    <w:rsid w:val="1FF82887"/>
    <w:rsid w:val="200854A4"/>
    <w:rsid w:val="20196452"/>
    <w:rsid w:val="221A4B12"/>
    <w:rsid w:val="228850B7"/>
    <w:rsid w:val="231860A1"/>
    <w:rsid w:val="23CB16FF"/>
    <w:rsid w:val="23E5367B"/>
    <w:rsid w:val="241E6EC9"/>
    <w:rsid w:val="244377AB"/>
    <w:rsid w:val="250E7DC2"/>
    <w:rsid w:val="27B215BB"/>
    <w:rsid w:val="28E71F92"/>
    <w:rsid w:val="29382F1C"/>
    <w:rsid w:val="295D1784"/>
    <w:rsid w:val="2964687E"/>
    <w:rsid w:val="296B75CF"/>
    <w:rsid w:val="29704D67"/>
    <w:rsid w:val="2B1D621F"/>
    <w:rsid w:val="2B88558B"/>
    <w:rsid w:val="2C762362"/>
    <w:rsid w:val="2C8B1F0A"/>
    <w:rsid w:val="2CD01871"/>
    <w:rsid w:val="2D5E4CD1"/>
    <w:rsid w:val="2E6513FB"/>
    <w:rsid w:val="2EC57D9A"/>
    <w:rsid w:val="2EE8124D"/>
    <w:rsid w:val="2EEC1E40"/>
    <w:rsid w:val="2EF80AA4"/>
    <w:rsid w:val="2F6530E3"/>
    <w:rsid w:val="2FF0097C"/>
    <w:rsid w:val="312617C4"/>
    <w:rsid w:val="315417B8"/>
    <w:rsid w:val="31CE3FDC"/>
    <w:rsid w:val="31CE6039"/>
    <w:rsid w:val="336E7BD6"/>
    <w:rsid w:val="340C1D01"/>
    <w:rsid w:val="348A60DD"/>
    <w:rsid w:val="34CD2369"/>
    <w:rsid w:val="34F51609"/>
    <w:rsid w:val="350535BC"/>
    <w:rsid w:val="352F48CE"/>
    <w:rsid w:val="359067E8"/>
    <w:rsid w:val="35BF3F91"/>
    <w:rsid w:val="36322D6F"/>
    <w:rsid w:val="36951590"/>
    <w:rsid w:val="37012781"/>
    <w:rsid w:val="37A4015B"/>
    <w:rsid w:val="3806155D"/>
    <w:rsid w:val="39EB445E"/>
    <w:rsid w:val="3A192D6D"/>
    <w:rsid w:val="3A2916EA"/>
    <w:rsid w:val="3AB64935"/>
    <w:rsid w:val="3ADB0022"/>
    <w:rsid w:val="3B0508FE"/>
    <w:rsid w:val="3B675832"/>
    <w:rsid w:val="3B7B7FEC"/>
    <w:rsid w:val="3DE56673"/>
    <w:rsid w:val="3EBC5803"/>
    <w:rsid w:val="3EE47B9C"/>
    <w:rsid w:val="3F461107"/>
    <w:rsid w:val="3FE8665F"/>
    <w:rsid w:val="407B48D9"/>
    <w:rsid w:val="40C32CF5"/>
    <w:rsid w:val="40E20ACF"/>
    <w:rsid w:val="410C0202"/>
    <w:rsid w:val="414F4E84"/>
    <w:rsid w:val="417D0085"/>
    <w:rsid w:val="423C27F0"/>
    <w:rsid w:val="429733C9"/>
    <w:rsid w:val="42AC05E7"/>
    <w:rsid w:val="43251945"/>
    <w:rsid w:val="4392664F"/>
    <w:rsid w:val="444F5040"/>
    <w:rsid w:val="44A834AC"/>
    <w:rsid w:val="44EC07E1"/>
    <w:rsid w:val="450962A1"/>
    <w:rsid w:val="454C6431"/>
    <w:rsid w:val="48B33F86"/>
    <w:rsid w:val="48DA394D"/>
    <w:rsid w:val="48EA3B26"/>
    <w:rsid w:val="49067309"/>
    <w:rsid w:val="4B065DB8"/>
    <w:rsid w:val="4B751CF1"/>
    <w:rsid w:val="4C0F3FD0"/>
    <w:rsid w:val="4C413131"/>
    <w:rsid w:val="4C8F6173"/>
    <w:rsid w:val="4E4C4FAF"/>
    <w:rsid w:val="4E87536B"/>
    <w:rsid w:val="4ECD00AA"/>
    <w:rsid w:val="4EEC23A6"/>
    <w:rsid w:val="4F5465B8"/>
    <w:rsid w:val="4F5D3224"/>
    <w:rsid w:val="50D34059"/>
    <w:rsid w:val="51B33619"/>
    <w:rsid w:val="51D20A2F"/>
    <w:rsid w:val="53AA0A6A"/>
    <w:rsid w:val="54E6608F"/>
    <w:rsid w:val="55221620"/>
    <w:rsid w:val="554732E3"/>
    <w:rsid w:val="559E0172"/>
    <w:rsid w:val="56731990"/>
    <w:rsid w:val="579E174F"/>
    <w:rsid w:val="584D6092"/>
    <w:rsid w:val="590931BE"/>
    <w:rsid w:val="591A20DD"/>
    <w:rsid w:val="591E1DB4"/>
    <w:rsid w:val="59C1601F"/>
    <w:rsid w:val="5C004AB9"/>
    <w:rsid w:val="5CC20F7E"/>
    <w:rsid w:val="5E1E1580"/>
    <w:rsid w:val="5F445F26"/>
    <w:rsid w:val="5FCE3F36"/>
    <w:rsid w:val="60F83945"/>
    <w:rsid w:val="612A039F"/>
    <w:rsid w:val="616616D2"/>
    <w:rsid w:val="63630D3D"/>
    <w:rsid w:val="63882CAA"/>
    <w:rsid w:val="642F718D"/>
    <w:rsid w:val="64833947"/>
    <w:rsid w:val="64C725F9"/>
    <w:rsid w:val="650A353E"/>
    <w:rsid w:val="651732D5"/>
    <w:rsid w:val="656C4C34"/>
    <w:rsid w:val="659327E0"/>
    <w:rsid w:val="66641157"/>
    <w:rsid w:val="66726677"/>
    <w:rsid w:val="66D03326"/>
    <w:rsid w:val="66EF262A"/>
    <w:rsid w:val="678B6BE2"/>
    <w:rsid w:val="67951292"/>
    <w:rsid w:val="67A41618"/>
    <w:rsid w:val="68093B71"/>
    <w:rsid w:val="69967687"/>
    <w:rsid w:val="6B0B7898"/>
    <w:rsid w:val="6BC76331"/>
    <w:rsid w:val="6CA20E9D"/>
    <w:rsid w:val="6ED8354F"/>
    <w:rsid w:val="70640CBF"/>
    <w:rsid w:val="71816E6E"/>
    <w:rsid w:val="73425277"/>
    <w:rsid w:val="738E2DDF"/>
    <w:rsid w:val="75B12C1A"/>
    <w:rsid w:val="76C90584"/>
    <w:rsid w:val="77167266"/>
    <w:rsid w:val="77F132EA"/>
    <w:rsid w:val="782429BE"/>
    <w:rsid w:val="798C63B0"/>
    <w:rsid w:val="79D4791E"/>
    <w:rsid w:val="7A49714C"/>
    <w:rsid w:val="7ACD0A2E"/>
    <w:rsid w:val="7B2E2FBA"/>
    <w:rsid w:val="7BA17DBD"/>
    <w:rsid w:val="7C0B2CCB"/>
    <w:rsid w:val="7C4662B4"/>
    <w:rsid w:val="7D7229F8"/>
    <w:rsid w:val="7D741D39"/>
    <w:rsid w:val="7FCD1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oc 1"/>
    <w:basedOn w:val="1"/>
    <w:next w:val="1"/>
    <w:qFormat/>
    <w:uiPriority w:val="0"/>
  </w:style>
  <w:style w:type="paragraph" w:styleId="6">
    <w:name w:val="toc 2"/>
    <w:basedOn w:val="1"/>
    <w:next w:val="1"/>
    <w:unhideWhenUsed/>
    <w:qFormat/>
    <w:uiPriority w:val="39"/>
    <w:pPr>
      <w:ind w:left="420" w:leftChars="200"/>
    </w:pPr>
  </w:style>
  <w:style w:type="paragraph" w:styleId="7">
    <w:name w:val="Body Text First Indent"/>
    <w:basedOn w:val="2"/>
    <w:qFormat/>
    <w:uiPriority w:val="99"/>
    <w:pPr>
      <w:spacing w:after="0"/>
      <w:ind w:firstLine="200" w:firstLineChars="200"/>
    </w:pPr>
    <w:rPr>
      <w:b/>
      <w:sz w:val="24"/>
    </w:rPr>
  </w:style>
  <w:style w:type="character" w:styleId="10">
    <w:name w:val="Hyperlink"/>
    <w:basedOn w:val="9"/>
    <w:qFormat/>
    <w:uiPriority w:val="0"/>
    <w:rPr>
      <w:color w:val="0000FF"/>
      <w:u w:val="single"/>
    </w:rPr>
  </w:style>
  <w:style w:type="paragraph" w:customStyle="1" w:styleId="11">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
    <w:name w:val="其他标准标志"/>
    <w:basedOn w:val="13"/>
    <w:qFormat/>
    <w:uiPriority w:val="99"/>
    <w:pPr>
      <w:framePr w:w="6101" w:vAnchor="page" w:hAnchor="page" w:x="4673" w:y="942"/>
    </w:pPr>
    <w:rPr>
      <w:w w:val="130"/>
    </w:rPr>
  </w:style>
  <w:style w:type="paragraph" w:customStyle="1" w:styleId="13">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14">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5">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6">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7">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8">
    <w:name w:val="封面标准英文名称"/>
    <w:basedOn w:val="17"/>
    <w:qFormat/>
    <w:uiPriority w:val="99"/>
    <w:pPr>
      <w:spacing w:before="370" w:line="400" w:lineRule="exact"/>
    </w:pPr>
    <w:rPr>
      <w:rFonts w:ascii="Times New Roman"/>
      <w:sz w:val="28"/>
      <w:szCs w:val="28"/>
    </w:rPr>
  </w:style>
  <w:style w:type="paragraph" w:customStyle="1" w:styleId="19">
    <w:name w:val="封面一致性程度标识"/>
    <w:basedOn w:val="18"/>
    <w:qFormat/>
    <w:uiPriority w:val="99"/>
    <w:pPr>
      <w:spacing w:before="440"/>
    </w:pPr>
    <w:rPr>
      <w:rFonts w:ascii="宋体" w:eastAsia="宋体"/>
    </w:rPr>
  </w:style>
  <w:style w:type="paragraph" w:customStyle="1" w:styleId="20">
    <w:name w:val="封面标准文稿类别"/>
    <w:basedOn w:val="19"/>
    <w:qFormat/>
    <w:uiPriority w:val="99"/>
    <w:pPr>
      <w:spacing w:after="160" w:line="240" w:lineRule="auto"/>
    </w:pPr>
    <w:rPr>
      <w:sz w:val="24"/>
    </w:rPr>
  </w:style>
  <w:style w:type="paragraph" w:customStyle="1" w:styleId="21">
    <w:name w:val="封面标准文稿编辑信息"/>
    <w:basedOn w:val="20"/>
    <w:qFormat/>
    <w:uiPriority w:val="99"/>
    <w:pPr>
      <w:spacing w:before="180" w:line="180" w:lineRule="exact"/>
    </w:pPr>
    <w:rPr>
      <w:sz w:val="21"/>
    </w:rPr>
  </w:style>
  <w:style w:type="paragraph" w:customStyle="1" w:styleId="22">
    <w:name w:val="其他发布日期"/>
    <w:basedOn w:val="23"/>
    <w:qFormat/>
    <w:uiPriority w:val="99"/>
    <w:pPr>
      <w:framePr w:vAnchor="page" w:hAnchor="text" w:x="1419"/>
    </w:pPr>
  </w:style>
  <w:style w:type="paragraph" w:customStyle="1" w:styleId="23">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4">
    <w:name w:val="其他实施日期"/>
    <w:basedOn w:val="25"/>
    <w:qFormat/>
    <w:uiPriority w:val="99"/>
  </w:style>
  <w:style w:type="paragraph" w:customStyle="1" w:styleId="25">
    <w:name w:val="实施日期"/>
    <w:basedOn w:val="23"/>
    <w:qFormat/>
    <w:uiPriority w:val="99"/>
    <w:pPr>
      <w:framePr w:vAnchor="page" w:hAnchor="text"/>
      <w:jc w:val="right"/>
    </w:pPr>
  </w:style>
  <w:style w:type="paragraph" w:customStyle="1" w:styleId="26">
    <w:name w:val="其他发布部门"/>
    <w:basedOn w:val="27"/>
    <w:qFormat/>
    <w:uiPriority w:val="99"/>
    <w:pPr>
      <w:framePr w:y="15310"/>
      <w:spacing w:line="240" w:lineRule="atLeast"/>
    </w:pPr>
    <w:rPr>
      <w:rFonts w:ascii="黑体" w:eastAsia="黑体"/>
      <w:b w:val="0"/>
    </w:rPr>
  </w:style>
  <w:style w:type="paragraph" w:customStyle="1" w:styleId="27">
    <w:name w:val="发布部门"/>
    <w:next w:val="28"/>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8">
    <w:name w:val="段"/>
    <w:link w:val="41"/>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9">
    <w:name w:val="发布"/>
    <w:qFormat/>
    <w:uiPriority w:val="99"/>
    <w:rPr>
      <w:rFonts w:ascii="黑体" w:eastAsia="黑体" w:cs="Times New Roman"/>
      <w:spacing w:val="85"/>
      <w:w w:val="100"/>
      <w:position w:val="3"/>
      <w:sz w:val="28"/>
      <w:szCs w:val="28"/>
    </w:rPr>
  </w:style>
  <w:style w:type="paragraph" w:customStyle="1" w:styleId="30">
    <w:name w:val="前言、引言标题"/>
    <w:next w:val="28"/>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1">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2">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33">
    <w:name w:val="p0"/>
    <w:basedOn w:val="1"/>
    <w:qFormat/>
    <w:uiPriority w:val="0"/>
    <w:pPr>
      <w:widowControl/>
    </w:pPr>
    <w:rPr>
      <w:kern w:val="0"/>
      <w:sz w:val="32"/>
      <w:szCs w:val="32"/>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7">
    <w:name w:val="章标题"/>
    <w:next w:val="28"/>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9">
    <w:name w:val="一级条标题"/>
    <w:next w:val="28"/>
    <w:qFormat/>
    <w:uiPriority w:val="0"/>
    <w:pPr>
      <w:numPr>
        <w:ilvl w:val="1"/>
        <w:numId w:val="1"/>
      </w:numPr>
      <w:spacing w:before="156" w:beforeLines="50" w:after="156" w:afterLines="50"/>
      <w:outlineLvl w:val="2"/>
    </w:pPr>
    <w:rPr>
      <w:rFonts w:ascii="黑体" w:hAnsi="Times New Roman" w:eastAsia="黑体" w:cs="Times New Roman"/>
      <w:sz w:val="21"/>
      <w:szCs w:val="21"/>
      <w:lang w:bidi="ar-SA"/>
    </w:rPr>
  </w:style>
  <w:style w:type="paragraph" w:customStyle="1" w:styleId="40">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character" w:customStyle="1" w:styleId="41">
    <w:name w:val="段 Char Char"/>
    <w:link w:val="28"/>
    <w:qFormat/>
    <w:locked/>
    <w:uiPriority w:val="0"/>
    <w:rPr>
      <w:rFonts w:ascii="宋体" w:hAnsi="Times New Roman" w:eastAsia="宋体" w:cs="Times New Roman"/>
      <w:sz w:val="21"/>
      <w:lang w:val="en-US" w:eastAsia="zh-CN" w:bidi="ar-SA"/>
    </w:rPr>
  </w:style>
  <w:style w:type="paragraph" w:customStyle="1" w:styleId="42">
    <w:name w:val="列出段落"/>
    <w:basedOn w:val="1"/>
    <w:unhideWhenUsed/>
    <w:qFormat/>
    <w:uiPriority w:val="99"/>
    <w:pPr>
      <w:ind w:firstLine="420" w:firstLineChars="200"/>
    </w:pPr>
  </w:style>
  <w:style w:type="paragraph" w:customStyle="1" w:styleId="43">
    <w:name w:val="图表编号"/>
    <w:basedOn w:val="1"/>
    <w:next w:val="44"/>
    <w:qFormat/>
    <w:uiPriority w:val="0"/>
    <w:pPr>
      <w:jc w:val="center"/>
    </w:pPr>
    <w:rPr>
      <w:rFonts w:eastAsia="黑体"/>
    </w:rPr>
  </w:style>
  <w:style w:type="paragraph" w:customStyle="1" w:styleId="44">
    <w:name w:val="L正文"/>
    <w:basedOn w:val="1"/>
    <w:qFormat/>
    <w:uiPriority w:val="0"/>
    <w:pPr>
      <w:ind w:firstLine="420" w:firstLineChars="200"/>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2892</Words>
  <Characters>3483</Characters>
  <Lines>0</Lines>
  <Paragraphs>0</Paragraphs>
  <TotalTime>0</TotalTime>
  <ScaleCrop>false</ScaleCrop>
  <LinksUpToDate>false</LinksUpToDate>
  <CharactersWithSpaces>3683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群微笑（连云港标准）15961301881</cp:lastModifiedBy>
  <cp:lastPrinted>2024-08-08T07:37:00Z</cp:lastPrinted>
  <dcterms:modified xsi:type="dcterms:W3CDTF">2024-11-11T11:23:32Z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commondata">
    <vt:lpwstr>eyJoZGlkIjoiNGRjOGM5NTY0N2UyNThiNWIzNThhYmNlN2JmMjNlNWIifQ==</vt:lpwstr>
  </property>
  <property fmtid="{D5CDD505-2E9C-101B-9397-08002B2CF9AE}" pid="4" name="ICV">
    <vt:lpwstr>AD259C8E9E004AD0AB601EDB05FCF206</vt:lpwstr>
  </property>
</Properties>
</file>