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257A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ascii="方正小标宋简体" w:hAnsi="方正小标宋简体" w:eastAsia="方正小标宋简体" w:cs="方正小标宋简体"/>
          <w:sz w:val="44"/>
          <w:szCs w:val="44"/>
          <w:lang w:eastAsia="zh-CN"/>
        </w:rPr>
        <w:t>连云港市地方标准《住宅小区微型消防站建设管理规范》编制说明</w:t>
      </w:r>
    </w:p>
    <w:p w14:paraId="64BBB74F">
      <w:pPr>
        <w:pageBreakBefore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目的意义</w:t>
      </w:r>
    </w:p>
    <w:p w14:paraId="786C30F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着城市化进程的加快，住宅小区的规模不断扩大，人口密集度日益增加，火灾等安全风险也随之上升，城市消防安全形势日益严峻。为积极引导和规范住宅小区志愿消防队伍建设，推动落实单位主体责任，着力提高住宅小区自查自纠、自防自救的能力，建设“有人员、有器材、有战斗力”的住宅小区微型消防站，实现有效处置初起火灾的目标，2015年公安部消防局印发了《消防安全重点单位微型消防站建设标准（试行）》《社区微型消防站建设标准（试行）》公消〔2015〕301号文件通知，对于加强住宅小区微型消防站的建设管理提出了新的要求。</w:t>
      </w:r>
    </w:p>
    <w:p w14:paraId="24790DC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满足火灾防控现实斗争需要，近年来，消防安全重点单位、居民社区普遍开展了微型消防站建设工作，在处置初期火灾，保障人民生命财产安全方面发挥了重要作用。但从我市抽查、测试和实际使用情况看，住宅小区微型消防站建设、运行、管理等方面还存在漏洞、不足。主要表现在消防组织不完善、消防人员素质不高、消防专业知识贫乏、消防制度不健全、消防管理水平低等，从而导致大部分住宅小区微型消防站形同虚设、没有真正发挥作用，消防工作得不到落实和消防隐患严重。其次消防装备普遍落后，以及消防安全布局不合理和住宅小区消防通道不畅也已成为制约住宅小区消防工作的又一重大难题。</w:t>
      </w:r>
    </w:p>
    <w:p w14:paraId="787AD5C5">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宅小区微型消防站作为社区消防安全的重要力量，发挥“救早，灭小”的专业职能尤为关键，其建设和管理水平直接关系到居民的生命财产安全。2024年2月23日南京市一居民住宅发生火灾，事故共造成15人遇难，44人受伤，直接经济损失超过3000万元，经初步分析，火灾为住宅建筑地面架空层停放电动自行车处起火引发并连通天井形成烟囱效应，使火情迅速向上蔓延并点燃天井违规堆放的杂物，引起局部猛烈燃烧，又通过窗户引发室内火灾，同时建筑内部的常闭式防火门未能有效阻隔烟气蔓延，使火和烟气通过架空层门厅直接进入楼梯间，造成伤亡扩大。该起事故从发生原因到扩大蔓延及最后造成严重后果，凸显出住宅小区微型消防站规范化建设，作为现有消防力量的末梢和延伸不可或缺。</w:t>
      </w:r>
    </w:p>
    <w:p w14:paraId="233CCFB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文以江苏省消防救援总队《住宅小区微型消防站差异化建设指导意见》为根据，连云港市消防救援支队研究制定《住宅小区微型消防站建设管理规范》，建设管理规范对于积极引导规范本市住宅小区微型消防站建设提供了重要依据，对于切实提升预防、扑救火灾和应急救援能力，全力保护人民生命和财产安全发挥了重要作用。住宅小区微型消防站是依托住宅小区现有消防组织体系和社区群防群治消防力量组建的“志愿消防队”升级版，对于推动本市社会消防组织建设，发展壮大社会消防力量，延伸火灾防范工作触角，强化初起火灾扑救力量，进一步</w:t>
      </w:r>
      <w:r>
        <w:rPr>
          <w:rFonts w:hint="eastAsia" w:ascii="仿宋_GB2312" w:hAnsi="仿宋_GB2312" w:eastAsia="仿宋_GB2312" w:cs="仿宋_GB2312"/>
          <w:sz w:val="32"/>
          <w:szCs w:val="32"/>
        </w:rPr>
        <w:t>防范</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遏制重特大事故发生</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对确保社会大局和谐稳定、保障经济高质量发展具有重要现实意义。</w:t>
      </w:r>
    </w:p>
    <w:p w14:paraId="3807BE8D">
      <w:pPr>
        <w:keepNext w:val="0"/>
        <w:keepLines w:val="0"/>
        <w:pageBreakBefore w:val="0"/>
        <w:widowControl/>
        <w:suppressLineNumbers w:val="0"/>
        <w:kinsoku/>
        <w:wordWrap/>
        <w:overflowPunct/>
        <w:topLinePunct w:val="0"/>
        <w:autoSpaceDE/>
        <w:autoSpaceDN/>
        <w:bidi w:val="0"/>
        <w:adjustRightInd/>
        <w:snapToGrid/>
        <w:spacing w:line="360" w:lineRule="auto"/>
        <w:ind w:firstLine="64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二、任务来源</w:t>
      </w:r>
    </w:p>
    <w:p w14:paraId="2FB7B0C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连云港市市场监督管理局《关于下达2024年度连云港市地方标准项目计划的通知》</w:t>
      </w:r>
    </w:p>
    <w:p w14:paraId="031D93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三、编制过程</w:t>
      </w:r>
    </w:p>
    <w:p w14:paraId="06B8D91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本文件按GB/T 1.1-2020《标准化工作导则 第1部分：标准化文件的结构和起草规则》规定编制。起草小组主要人员多年从事防灭火及应急救援相关工作，对消防行业有较好的工作经验。本文件的编制主要经历了以下几个过程：</w:t>
      </w:r>
    </w:p>
    <w:p w14:paraId="2C333A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1、机构建设。2024年1月起开展组织市级地方标准制定工作，成立了由市消防救援支队主官任组长的标准制定工作小组，配备兼职标准工作人员10名，负责开展地方标准制定日常工作。</w:t>
      </w:r>
    </w:p>
    <w:p w14:paraId="2E53C46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2、技术咨询。2024年2-3月开始收集相关法律法规、检索相关国家、行业、地方标准，同时开展技术咨询工作，征求主管部门、标准化研究机构及高校等有关专家代表意见。</w:t>
      </w:r>
    </w:p>
    <w:p w14:paraId="42CB5A6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走访调研。2024年4-6月开始查阅各类相关资料，有针对性地收集有关国家文件和技术文献，并汇集之前检索的相关标准。经过认真地分析、整理和归类，选用相关材料作为参考。同步对全市多个住宅小区开展实地研讨，在此基础上确定标准范围和内容，制定该文件。并开展了标准申报工作。</w:t>
      </w:r>
    </w:p>
    <w:p w14:paraId="14648EA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4、获批立项。2024年7月获批连云港市地方标准立项。</w:t>
      </w:r>
    </w:p>
    <w:p w14:paraId="483C678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5、标准定稿。2024年8-9月编制小组在查阅相关资料基础上，充分利用起草单位对全市住宅小区的走访调研成果，召开标准研讨会和交流会，编制形成《住宅小区微型消防站建设管理规范》定稿。</w:t>
      </w:r>
    </w:p>
    <w:p w14:paraId="0024FC8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6、2024年11月计划征求意见。</w:t>
      </w:r>
    </w:p>
    <w:p w14:paraId="69FA2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四、主要内容技术指标确立</w:t>
      </w:r>
    </w:p>
    <w:p w14:paraId="27CD6AD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1.适用范围：</w:t>
      </w:r>
    </w:p>
    <w:p w14:paraId="731A24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本文件规定了住宅小区微型消防站的建设标准、队伍管理、工作职责、档案管理等建设管理内容。</w:t>
      </w:r>
    </w:p>
    <w:p w14:paraId="750FDE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w:t>
      </w:r>
      <w:r>
        <w:rPr>
          <w:rFonts w:hint="eastAsia" w:ascii="仿宋" w:hAnsi="仿宋" w:eastAsia="仿宋"/>
          <w:sz w:val="32"/>
          <w:szCs w:val="32"/>
          <w:lang w:val="en-US" w:eastAsia="zh-CN"/>
        </w:rPr>
        <w:t>适用于本市行政范围内住宅小区微型消防站的建设和管理。</w:t>
      </w:r>
    </w:p>
    <w:p w14:paraId="7B08EFE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2.主要内容：</w:t>
      </w:r>
    </w:p>
    <w:p w14:paraId="6B30E5C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一是建设标准</w:t>
      </w:r>
      <w:r>
        <w:rPr>
          <w:rFonts w:hint="default" w:ascii="仿宋" w:hAnsi="仿宋" w:eastAsia="仿宋"/>
          <w:sz w:val="32"/>
          <w:szCs w:val="32"/>
          <w:lang w:val="en-US" w:eastAsia="zh-CN"/>
        </w:rPr>
        <w:t>：明确了微型消防站的分级标准、站点设置、人员配备和装备配备等要求。</w:t>
      </w:r>
    </w:p>
    <w:p w14:paraId="0E250C2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二是</w:t>
      </w:r>
      <w:r>
        <w:rPr>
          <w:rFonts w:hint="default" w:ascii="仿宋" w:hAnsi="仿宋" w:eastAsia="仿宋"/>
          <w:sz w:val="32"/>
          <w:szCs w:val="32"/>
          <w:lang w:val="en-US" w:eastAsia="zh-CN"/>
        </w:rPr>
        <w:t>队伍管理：规定了微型消防站的日常管理、值班备勤、指挥调度、训练演练等内容。</w:t>
      </w:r>
    </w:p>
    <w:p w14:paraId="106BD72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三是</w:t>
      </w:r>
      <w:r>
        <w:rPr>
          <w:rFonts w:hint="default" w:ascii="仿宋" w:hAnsi="仿宋" w:eastAsia="仿宋"/>
          <w:sz w:val="32"/>
          <w:szCs w:val="32"/>
          <w:lang w:val="en-US" w:eastAsia="zh-CN"/>
        </w:rPr>
        <w:t>工作职责：明确了微型消防站在防火巡查检查、灭火救援准备、消防宣传教育、执勤联动等方面的工作职责。</w:t>
      </w:r>
    </w:p>
    <w:p w14:paraId="40B8D4B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四是</w:t>
      </w:r>
      <w:r>
        <w:rPr>
          <w:rFonts w:hint="default" w:ascii="仿宋" w:hAnsi="仿宋" w:eastAsia="仿宋"/>
          <w:sz w:val="32"/>
          <w:szCs w:val="32"/>
          <w:lang w:val="en-US" w:eastAsia="zh-CN"/>
        </w:rPr>
        <w:t>档案管理：要求微型消防站建立消防工作档案，记录基本情况和管理情况，确保档案信息的详实、准确和及时更新</w:t>
      </w:r>
    </w:p>
    <w:p w14:paraId="01F03F7D">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重大分歧意见的处理过程和依据</w:t>
      </w:r>
    </w:p>
    <w:p w14:paraId="3F4D61F3">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F7BBC80">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与法律法规和强制性国家标准的关系</w:t>
      </w:r>
    </w:p>
    <w:p w14:paraId="781209FA">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本标准的制定不违反相关法律法规及强制性标准，不存在与国家标准、行业标准，与相关标准的内容异同。</w:t>
      </w:r>
    </w:p>
    <w:p w14:paraId="38C953D5">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本规范针对住宅小区微型消防站建设与管理，与本标准制定出发点相似的现有标准包括：山东省地方标准《微型消防站建设标准》（DB37/T 3486-2019）、天津市地方标准《微型消防站建设标准》（DB3302/T 1136—2022）、泰州市地方标准《微型消防站建设规范》（DB3212/T 1137—2023）等，但目前我市尚未有住宅小区微型消防站建设管理相关规范与标准。</w:t>
      </w:r>
    </w:p>
    <w:p w14:paraId="5F9FB162">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本标准引用了《建筑设计防火规范》（GB 55037-2022）、《城市消防站设计规范》（GB 51054-2014）、《民用建筑设计统一标准》（GB 50352-2019）等相关标准。</w:t>
      </w:r>
    </w:p>
    <w:p w14:paraId="5B4B6777">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zh-CN" w:eastAsia="zh-CN"/>
        </w:rPr>
        <w:t>七、实施推广建议</w:t>
      </w:r>
    </w:p>
    <w:p w14:paraId="13F6555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建议实施推广对象：连云港市行政范围内住宅小区微型消防站。</w:t>
      </w:r>
    </w:p>
    <w:p w14:paraId="7892F4ED">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zh-CN" w:eastAsia="zh-CN"/>
        </w:rPr>
      </w:pPr>
      <w:r>
        <w:rPr>
          <w:rFonts w:hint="eastAsia" w:ascii="仿宋" w:hAnsi="仿宋" w:eastAsia="仿宋"/>
          <w:sz w:val="32"/>
          <w:szCs w:val="32"/>
          <w:lang w:val="zh-CN" w:eastAsia="zh-CN"/>
        </w:rPr>
        <w:t>实施推广建议：</w:t>
      </w:r>
      <w:r>
        <w:rPr>
          <w:rFonts w:hint="eastAsia" w:ascii="仿宋" w:hAnsi="仿宋" w:eastAsia="仿宋"/>
          <w:sz w:val="32"/>
          <w:szCs w:val="32"/>
          <w:lang w:val="en-US" w:eastAsia="zh-CN"/>
        </w:rPr>
        <w:t>一是要</w:t>
      </w:r>
      <w:r>
        <w:rPr>
          <w:rFonts w:hint="eastAsia" w:ascii="仿宋" w:hAnsi="仿宋" w:eastAsia="仿宋"/>
          <w:sz w:val="32"/>
          <w:szCs w:val="32"/>
          <w:lang w:val="zh-CN" w:eastAsia="zh-CN"/>
        </w:rPr>
        <w:t>加强宣贯培训，通过举办培训班、发放宣传资料等方式，加强对住宅小区物业服务企业、业主委员会等相关人员的宣贯培训，提高其对规范的认识和理解。</w:t>
      </w:r>
      <w:r>
        <w:rPr>
          <w:rFonts w:hint="eastAsia" w:ascii="仿宋" w:hAnsi="仿宋" w:eastAsia="仿宋"/>
          <w:sz w:val="32"/>
          <w:szCs w:val="32"/>
          <w:lang w:val="en-US" w:eastAsia="zh-CN"/>
        </w:rPr>
        <w:t>二是</w:t>
      </w:r>
      <w:r>
        <w:rPr>
          <w:rFonts w:hint="eastAsia" w:ascii="仿宋" w:hAnsi="仿宋" w:eastAsia="仿宋"/>
          <w:sz w:val="32"/>
          <w:szCs w:val="32"/>
          <w:lang w:val="zh-CN" w:eastAsia="zh-CN"/>
        </w:rPr>
        <w:t>强化监督检查，消防救援机构应加强对住宅小区微型消防站建设的监督检查力度，确保其按照规范要求进行建设和管理。</w:t>
      </w:r>
      <w:r>
        <w:rPr>
          <w:rFonts w:hint="eastAsia" w:ascii="仿宋" w:hAnsi="仿宋" w:eastAsia="仿宋"/>
          <w:sz w:val="32"/>
          <w:szCs w:val="32"/>
          <w:lang w:val="en-US" w:eastAsia="zh-CN"/>
        </w:rPr>
        <w:t>三是</w:t>
      </w:r>
      <w:r>
        <w:rPr>
          <w:rFonts w:hint="eastAsia" w:ascii="仿宋" w:hAnsi="仿宋" w:eastAsia="仿宋"/>
          <w:sz w:val="32"/>
          <w:szCs w:val="32"/>
          <w:lang w:val="zh-CN" w:eastAsia="zh-CN"/>
        </w:rPr>
        <w:t>鼓励社会参与，鼓励社会各界积极参与住宅小区微型消防站的建设和管理工作，形成全社会共同关注消防安全的良好氛围。</w:t>
      </w:r>
    </w:p>
    <w:p w14:paraId="46797E53">
      <w:pPr>
        <w:keepNext w:val="0"/>
        <w:keepLines w:val="0"/>
        <w:widowControl/>
        <w:suppressLineNumbers w:val="0"/>
        <w:ind w:firstLine="640" w:firstLineChars="20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八、起草单位和起草人员</w:t>
      </w:r>
    </w:p>
    <w:tbl>
      <w:tblPr>
        <w:tblStyle w:val="5"/>
        <w:tblW w:w="7732" w:type="dxa"/>
        <w:jc w:val="center"/>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911"/>
        <w:gridCol w:w="3107"/>
      </w:tblGrid>
      <w:tr w14:paraId="284EFCAE">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714" w:type="dxa"/>
            <w:noWrap w:val="0"/>
            <w:vAlign w:val="center"/>
          </w:tcPr>
          <w:p w14:paraId="39440BC6">
            <w:pPr>
              <w:keepNext w:val="0"/>
              <w:keepLines w:val="0"/>
              <w:pageBreakBefore w:val="0"/>
              <w:kinsoku/>
              <w:wordWrap/>
              <w:overflowPunct/>
              <w:topLinePunct w:val="0"/>
              <w:autoSpaceDE/>
              <w:autoSpaceDN/>
              <w:bidi w:val="0"/>
              <w:snapToGrid/>
              <w:spacing w:line="560" w:lineRule="exact"/>
              <w:ind w:firstLine="0"/>
              <w:jc w:val="center"/>
              <w:textAlignment w:val="auto"/>
              <w:rPr>
                <w:rFonts w:hint="default" w:ascii="Times New Roman" w:hAnsi="Times New Roman" w:eastAsia="黑体" w:cs="Times New Roman"/>
                <w:b w:val="0"/>
                <w:bCs/>
                <w:snapToGrid/>
                <w:color w:val="auto"/>
                <w:kern w:val="2"/>
                <w:sz w:val="28"/>
                <w:szCs w:val="28"/>
                <w:highlight w:val="none"/>
                <w:lang w:val="en-US" w:eastAsia="zh-CN"/>
              </w:rPr>
            </w:pPr>
            <w:r>
              <w:rPr>
                <w:rFonts w:hint="default" w:ascii="Times New Roman" w:hAnsi="Times New Roman" w:eastAsia="黑体" w:cs="Times New Roman"/>
                <w:b w:val="0"/>
                <w:bCs/>
                <w:snapToGrid/>
                <w:color w:val="auto"/>
                <w:kern w:val="2"/>
                <w:sz w:val="28"/>
                <w:szCs w:val="28"/>
                <w:highlight w:val="none"/>
                <w:lang w:val="en-US" w:eastAsia="zh-CN"/>
              </w:rPr>
              <w:t>序号</w:t>
            </w:r>
          </w:p>
        </w:tc>
        <w:tc>
          <w:tcPr>
            <w:tcW w:w="2911" w:type="dxa"/>
            <w:noWrap w:val="0"/>
            <w:vAlign w:val="center"/>
          </w:tcPr>
          <w:p w14:paraId="618DC98B">
            <w:pPr>
              <w:keepNext w:val="0"/>
              <w:keepLines w:val="0"/>
              <w:pageBreakBefore w:val="0"/>
              <w:kinsoku/>
              <w:wordWrap/>
              <w:overflowPunct/>
              <w:topLinePunct w:val="0"/>
              <w:autoSpaceDE/>
              <w:autoSpaceDN/>
              <w:bidi w:val="0"/>
              <w:snapToGrid/>
              <w:spacing w:line="560" w:lineRule="exact"/>
              <w:ind w:firstLine="0"/>
              <w:jc w:val="center"/>
              <w:textAlignment w:val="auto"/>
              <w:rPr>
                <w:rFonts w:hint="default" w:ascii="Times New Roman" w:hAnsi="Times New Roman" w:eastAsia="黑体" w:cs="Times New Roman"/>
                <w:b w:val="0"/>
                <w:bCs/>
                <w:snapToGrid/>
                <w:color w:val="auto"/>
                <w:kern w:val="2"/>
                <w:sz w:val="28"/>
                <w:szCs w:val="28"/>
                <w:highlight w:val="none"/>
                <w:lang w:val="en-US" w:eastAsia="zh-CN"/>
              </w:rPr>
            </w:pPr>
            <w:r>
              <w:rPr>
                <w:rFonts w:hint="default" w:ascii="Times New Roman" w:hAnsi="Times New Roman" w:eastAsia="黑体" w:cs="Times New Roman"/>
                <w:b w:val="0"/>
                <w:bCs/>
                <w:snapToGrid/>
                <w:color w:val="auto"/>
                <w:kern w:val="2"/>
                <w:sz w:val="28"/>
                <w:szCs w:val="28"/>
                <w:highlight w:val="none"/>
                <w:lang w:val="en-US" w:eastAsia="zh-CN"/>
              </w:rPr>
              <w:t>姓名</w:t>
            </w:r>
          </w:p>
        </w:tc>
        <w:tc>
          <w:tcPr>
            <w:tcW w:w="3107" w:type="dxa"/>
            <w:noWrap w:val="0"/>
            <w:vAlign w:val="center"/>
          </w:tcPr>
          <w:p w14:paraId="37A14B60">
            <w:pPr>
              <w:keepNext w:val="0"/>
              <w:keepLines w:val="0"/>
              <w:pageBreakBefore w:val="0"/>
              <w:kinsoku/>
              <w:wordWrap/>
              <w:overflowPunct/>
              <w:topLinePunct w:val="0"/>
              <w:autoSpaceDE/>
              <w:autoSpaceDN/>
              <w:bidi w:val="0"/>
              <w:snapToGrid/>
              <w:spacing w:line="560" w:lineRule="exact"/>
              <w:ind w:firstLine="0"/>
              <w:jc w:val="center"/>
              <w:textAlignment w:val="auto"/>
              <w:rPr>
                <w:rFonts w:hint="default" w:ascii="Times New Roman" w:hAnsi="Times New Roman" w:eastAsia="黑体" w:cs="Times New Roman"/>
                <w:b w:val="0"/>
                <w:bCs/>
                <w:snapToGrid/>
                <w:color w:val="auto"/>
                <w:kern w:val="2"/>
                <w:sz w:val="28"/>
                <w:szCs w:val="28"/>
                <w:highlight w:val="none"/>
                <w:lang w:val="en-US" w:eastAsia="zh-CN"/>
              </w:rPr>
            </w:pPr>
            <w:r>
              <w:rPr>
                <w:rFonts w:hint="default" w:ascii="Times New Roman" w:hAnsi="Times New Roman" w:eastAsia="黑体" w:cs="Times New Roman"/>
                <w:b w:val="0"/>
                <w:bCs/>
                <w:snapToGrid/>
                <w:color w:val="auto"/>
                <w:kern w:val="2"/>
                <w:sz w:val="28"/>
                <w:szCs w:val="28"/>
                <w:highlight w:val="none"/>
                <w:lang w:val="en-US" w:eastAsia="zh-CN"/>
              </w:rPr>
              <w:t>单位名称</w:t>
            </w:r>
          </w:p>
        </w:tc>
      </w:tr>
      <w:tr w14:paraId="4F99970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5A95156B">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w:t>
            </w:r>
          </w:p>
        </w:tc>
        <w:tc>
          <w:tcPr>
            <w:tcW w:w="2911" w:type="dxa"/>
            <w:noWrap w:val="0"/>
            <w:vAlign w:val="center"/>
          </w:tcPr>
          <w:p w14:paraId="053F7374">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李  明</w:t>
            </w:r>
          </w:p>
        </w:tc>
        <w:tc>
          <w:tcPr>
            <w:tcW w:w="3107" w:type="dxa"/>
            <w:noWrap w:val="0"/>
            <w:vAlign w:val="center"/>
          </w:tcPr>
          <w:p w14:paraId="30E85C31">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3F6C3AF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1557612B">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2</w:t>
            </w:r>
          </w:p>
        </w:tc>
        <w:tc>
          <w:tcPr>
            <w:tcW w:w="2911" w:type="dxa"/>
            <w:noWrap w:val="0"/>
            <w:vAlign w:val="center"/>
          </w:tcPr>
          <w:p w14:paraId="048A7EC1">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程  涛</w:t>
            </w:r>
          </w:p>
        </w:tc>
        <w:tc>
          <w:tcPr>
            <w:tcW w:w="3107" w:type="dxa"/>
            <w:noWrap w:val="0"/>
            <w:vAlign w:val="center"/>
          </w:tcPr>
          <w:p w14:paraId="13368A1B">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7149115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BFE52D2">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3</w:t>
            </w:r>
          </w:p>
        </w:tc>
        <w:tc>
          <w:tcPr>
            <w:tcW w:w="2911" w:type="dxa"/>
            <w:noWrap w:val="0"/>
            <w:vAlign w:val="center"/>
          </w:tcPr>
          <w:p w14:paraId="3DE7D7FF">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陈  勇</w:t>
            </w:r>
          </w:p>
        </w:tc>
        <w:tc>
          <w:tcPr>
            <w:tcW w:w="3107" w:type="dxa"/>
            <w:noWrap w:val="0"/>
            <w:vAlign w:val="center"/>
          </w:tcPr>
          <w:p w14:paraId="63D4F5D5">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520EA7D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E857A5D">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4</w:t>
            </w:r>
          </w:p>
        </w:tc>
        <w:tc>
          <w:tcPr>
            <w:tcW w:w="2911" w:type="dxa"/>
            <w:noWrap w:val="0"/>
            <w:vAlign w:val="center"/>
          </w:tcPr>
          <w:p w14:paraId="7B6588BE">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rPr>
              <w:t>唐</w:t>
            </w:r>
            <w:r>
              <w:rPr>
                <w:rFonts w:hint="eastAsia" w:hAnsi="宋体" w:eastAsia="宋体" w:cs="宋体"/>
                <w:sz w:val="24"/>
                <w:szCs w:val="24"/>
                <w:lang w:val="en-US" w:eastAsia="zh-CN"/>
              </w:rPr>
              <w:t xml:space="preserve">  </w:t>
            </w:r>
            <w:r>
              <w:rPr>
                <w:rFonts w:hint="eastAsia" w:hAnsi="宋体" w:eastAsia="宋体" w:cs="宋体"/>
                <w:sz w:val="24"/>
                <w:szCs w:val="24"/>
              </w:rPr>
              <w:t>烨</w:t>
            </w:r>
          </w:p>
        </w:tc>
        <w:tc>
          <w:tcPr>
            <w:tcW w:w="3107" w:type="dxa"/>
            <w:noWrap w:val="0"/>
            <w:vAlign w:val="center"/>
          </w:tcPr>
          <w:p w14:paraId="4F01E896">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4559152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3E8241C">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5</w:t>
            </w:r>
          </w:p>
        </w:tc>
        <w:tc>
          <w:tcPr>
            <w:tcW w:w="2911" w:type="dxa"/>
            <w:noWrap w:val="0"/>
            <w:vAlign w:val="center"/>
          </w:tcPr>
          <w:p w14:paraId="77E97A62">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王兵兵</w:t>
            </w:r>
          </w:p>
        </w:tc>
        <w:tc>
          <w:tcPr>
            <w:tcW w:w="3107" w:type="dxa"/>
            <w:noWrap w:val="0"/>
            <w:vAlign w:val="center"/>
          </w:tcPr>
          <w:p w14:paraId="1B3DFD5D">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05F5F1E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shd w:val="clear" w:color="auto" w:fill="auto"/>
            <w:noWrap w:val="0"/>
            <w:vAlign w:val="center"/>
          </w:tcPr>
          <w:p w14:paraId="5DD23BBE">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6</w:t>
            </w:r>
          </w:p>
        </w:tc>
        <w:tc>
          <w:tcPr>
            <w:tcW w:w="2911" w:type="dxa"/>
            <w:shd w:val="clear" w:color="auto" w:fill="auto"/>
            <w:noWrap w:val="0"/>
            <w:vAlign w:val="center"/>
          </w:tcPr>
          <w:p w14:paraId="727535AF">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于国栋</w:t>
            </w:r>
          </w:p>
        </w:tc>
        <w:tc>
          <w:tcPr>
            <w:tcW w:w="3107" w:type="dxa"/>
            <w:shd w:val="clear" w:color="auto" w:fill="auto"/>
            <w:noWrap w:val="0"/>
            <w:vAlign w:val="center"/>
          </w:tcPr>
          <w:p w14:paraId="17F46532">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51DE42A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7A2E5A51">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7</w:t>
            </w:r>
          </w:p>
        </w:tc>
        <w:tc>
          <w:tcPr>
            <w:tcW w:w="2911" w:type="dxa"/>
            <w:noWrap w:val="0"/>
            <w:vAlign w:val="center"/>
          </w:tcPr>
          <w:p w14:paraId="31156220">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陈  睿</w:t>
            </w:r>
          </w:p>
        </w:tc>
        <w:tc>
          <w:tcPr>
            <w:tcW w:w="3107" w:type="dxa"/>
            <w:noWrap w:val="0"/>
            <w:vAlign w:val="center"/>
          </w:tcPr>
          <w:p w14:paraId="515EEE9A">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4A93D8D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AAFB6CF">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8</w:t>
            </w:r>
          </w:p>
        </w:tc>
        <w:tc>
          <w:tcPr>
            <w:tcW w:w="2911" w:type="dxa"/>
            <w:noWrap w:val="0"/>
            <w:vAlign w:val="center"/>
          </w:tcPr>
          <w:p w14:paraId="6562E598">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马  程</w:t>
            </w:r>
          </w:p>
        </w:tc>
        <w:tc>
          <w:tcPr>
            <w:tcW w:w="3107" w:type="dxa"/>
            <w:noWrap w:val="0"/>
            <w:vAlign w:val="center"/>
          </w:tcPr>
          <w:p w14:paraId="4DAD985D">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262C46C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3AC7BD4">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9</w:t>
            </w:r>
          </w:p>
        </w:tc>
        <w:tc>
          <w:tcPr>
            <w:tcW w:w="2911" w:type="dxa"/>
            <w:noWrap w:val="0"/>
            <w:vAlign w:val="center"/>
          </w:tcPr>
          <w:p w14:paraId="046F83A8">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霍星铭</w:t>
            </w:r>
          </w:p>
        </w:tc>
        <w:tc>
          <w:tcPr>
            <w:tcW w:w="3107" w:type="dxa"/>
            <w:noWrap w:val="0"/>
            <w:vAlign w:val="center"/>
          </w:tcPr>
          <w:p w14:paraId="3A32D8DC">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62DD919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2355AD87">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10</w:t>
            </w:r>
          </w:p>
        </w:tc>
        <w:tc>
          <w:tcPr>
            <w:tcW w:w="2911" w:type="dxa"/>
            <w:noWrap w:val="0"/>
            <w:vAlign w:val="center"/>
          </w:tcPr>
          <w:p w14:paraId="3EE8E764">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hAnsi="宋体" w:eastAsia="宋体" w:cs="宋体"/>
                <w:sz w:val="24"/>
                <w:szCs w:val="24"/>
                <w:lang w:val="en-US" w:eastAsia="zh-CN"/>
              </w:rPr>
              <w:t>赵斯傲</w:t>
            </w:r>
          </w:p>
        </w:tc>
        <w:tc>
          <w:tcPr>
            <w:tcW w:w="3107" w:type="dxa"/>
            <w:noWrap w:val="0"/>
            <w:vAlign w:val="center"/>
          </w:tcPr>
          <w:p w14:paraId="00D3FBE6">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连云港市消防救援支队</w:t>
            </w:r>
          </w:p>
        </w:tc>
      </w:tr>
      <w:tr w14:paraId="567CCA7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40A09067">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11</w:t>
            </w:r>
          </w:p>
        </w:tc>
        <w:tc>
          <w:tcPr>
            <w:tcW w:w="2911" w:type="dxa"/>
            <w:noWrap w:val="0"/>
            <w:vAlign w:val="center"/>
          </w:tcPr>
          <w:p w14:paraId="0131365D">
            <w:pPr>
              <w:keepNext w:val="0"/>
              <w:keepLines w:val="0"/>
              <w:pageBreakBefore w:val="0"/>
              <w:kinsoku/>
              <w:wordWrap/>
              <w:overflowPunct/>
              <w:topLinePunct w:val="0"/>
              <w:autoSpaceDE/>
              <w:autoSpaceDN/>
              <w:bidi w:val="0"/>
              <w:snapToGrid/>
              <w:spacing w:line="240" w:lineRule="auto"/>
              <w:jc w:val="center"/>
              <w:textAlignment w:val="auto"/>
              <w:rPr>
                <w:rFonts w:hint="eastAsia" w:hAnsi="宋体" w:eastAsia="宋体" w:cs="宋体"/>
                <w:sz w:val="24"/>
                <w:szCs w:val="24"/>
                <w:lang w:val="en-US" w:eastAsia="zh-CN"/>
              </w:rPr>
            </w:pPr>
            <w:r>
              <w:rPr>
                <w:rFonts w:hint="eastAsia" w:hAnsi="宋体" w:eastAsia="宋体" w:cs="宋体"/>
                <w:sz w:val="24"/>
                <w:szCs w:val="24"/>
                <w:lang w:val="en-US" w:eastAsia="zh-CN"/>
              </w:rPr>
              <w:t>高娟</w:t>
            </w:r>
          </w:p>
        </w:tc>
        <w:tc>
          <w:tcPr>
            <w:tcW w:w="3107" w:type="dxa"/>
            <w:noWrap w:val="0"/>
            <w:vAlign w:val="center"/>
          </w:tcPr>
          <w:p w14:paraId="5D6E6803">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连云港市标准化研究中心</w:t>
            </w:r>
            <w:bookmarkStart w:id="0" w:name="_GoBack"/>
            <w:bookmarkEnd w:id="0"/>
          </w:p>
        </w:tc>
      </w:tr>
    </w:tbl>
    <w:p w14:paraId="3E6D844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C59F7C-E2ED-4CAE-B8E7-F7397C5C0E9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F6D1CC88-2A5A-4C8F-91FC-E591D17DB3AF}"/>
  </w:font>
  <w:font w:name="仿宋_GB2312">
    <w:panose1 w:val="02010609030101010101"/>
    <w:charset w:val="86"/>
    <w:family w:val="auto"/>
    <w:pitch w:val="default"/>
    <w:sig w:usb0="00000001" w:usb1="080E0000" w:usb2="00000000" w:usb3="00000000" w:csb0="00040000" w:csb1="00000000"/>
    <w:embedRegular r:id="rId3" w:fontKey="{CC86741D-29EC-4CCF-B69E-C5E1076C7543}"/>
  </w:font>
  <w:font w:name="仿宋">
    <w:panose1 w:val="02010609060101010101"/>
    <w:charset w:val="86"/>
    <w:family w:val="auto"/>
    <w:pitch w:val="default"/>
    <w:sig w:usb0="800002BF" w:usb1="38CF7CFA" w:usb2="00000016" w:usb3="00000000" w:csb0="00040001" w:csb1="00000000"/>
    <w:embedRegular r:id="rId4" w:fontKey="{1CA63EB3-E4BC-44B8-BE88-3F9D7176A7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463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BE3488">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CBE348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4254"/>
    <w:multiLevelType w:val="singleLevel"/>
    <w:tmpl w:val="0D3E425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3OTE2ZTM4YTk3OWJiYzA5MGVlM2MyZGFjMTk1NjUifQ=="/>
  </w:docVars>
  <w:rsids>
    <w:rsidRoot w:val="00000000"/>
    <w:rsid w:val="015F04E7"/>
    <w:rsid w:val="043A5206"/>
    <w:rsid w:val="0B3D5C59"/>
    <w:rsid w:val="11813E1A"/>
    <w:rsid w:val="1CC42AD2"/>
    <w:rsid w:val="1E3969F7"/>
    <w:rsid w:val="2EBF25F1"/>
    <w:rsid w:val="351E75E2"/>
    <w:rsid w:val="3834262B"/>
    <w:rsid w:val="3B764318"/>
    <w:rsid w:val="674E5B7C"/>
    <w:rsid w:val="73313CFD"/>
    <w:rsid w:val="77201833"/>
    <w:rsid w:val="7E5C5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2607</Words>
  <Characters>2720</Characters>
  <Lines>0</Lines>
  <Paragraphs>0</Paragraphs>
  <TotalTime>6</TotalTime>
  <ScaleCrop>false</ScaleCrop>
  <LinksUpToDate>false</LinksUpToDate>
  <CharactersWithSpaces>2742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2024-10-14T07:27:00Z</dcterms:created>
  <dc:creator>Administrator</dc:creator>
  <cp:lastModifiedBy>Administrator</cp:lastModifiedBy>
  <dcterms:modified xsi:type="dcterms:W3CDTF">2024-11-02T13:42:01Z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406259A5D72B441286393FEECFB0EF5A_13</vt:lpwstr>
  </property>
</Properties>
</file>