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96" w:rsidRDefault="00623554" w:rsidP="00655EB2">
      <w:pPr>
        <w:spacing w:line="440" w:lineRule="exact"/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96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马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盈</w:t>
      </w:r>
    </w:p>
    <w:p w:rsidR="00754996" w:rsidRDefault="00754996" w:rsidP="00655EB2">
      <w:pPr>
        <w:spacing w:line="440" w:lineRule="exact"/>
        <w:jc w:val="center"/>
        <w:rPr>
          <w:rFonts w:eastAsia="方正小标宋简体"/>
          <w:sz w:val="44"/>
          <w:szCs w:val="44"/>
        </w:rPr>
      </w:pPr>
    </w:p>
    <w:p w:rsidR="00754996" w:rsidRDefault="00623554" w:rsidP="00655EB2">
      <w:pPr>
        <w:spacing w:line="44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754996" w:rsidRDefault="00623554" w:rsidP="00655EB2">
      <w:pPr>
        <w:spacing w:line="44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44127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754996" w:rsidRDefault="00754996" w:rsidP="00655EB2">
      <w:pPr>
        <w:spacing w:line="440" w:lineRule="exact"/>
        <w:rPr>
          <w:rFonts w:eastAsia="仿宋_GB2312"/>
          <w:sz w:val="32"/>
          <w:szCs w:val="32"/>
        </w:rPr>
      </w:pPr>
    </w:p>
    <w:p w:rsidR="00754996" w:rsidRDefault="00623554" w:rsidP="00655EB2">
      <w:pPr>
        <w:spacing w:line="44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张春红</w:t>
      </w:r>
      <w:r>
        <w:rPr>
          <w:rFonts w:eastAsia="仿宋_GB2312" w:hint="eastAsia"/>
          <w:sz w:val="32"/>
          <w:szCs w:val="32"/>
        </w:rPr>
        <w:t>委员</w:t>
      </w:r>
      <w:r>
        <w:rPr>
          <w:rFonts w:eastAsia="仿宋_GB2312"/>
          <w:sz w:val="32"/>
          <w:szCs w:val="32"/>
        </w:rPr>
        <w:t>：</w:t>
      </w:r>
    </w:p>
    <w:p w:rsidR="00754996" w:rsidRDefault="00623554" w:rsidP="00655EB2">
      <w:pPr>
        <w:spacing w:line="4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您提出的</w:t>
      </w:r>
      <w:r>
        <w:rPr>
          <w:rFonts w:eastAsia="仿宋_GB2312" w:hint="eastAsia"/>
          <w:sz w:val="32"/>
          <w:szCs w:val="32"/>
        </w:rPr>
        <w:t>《关于加强我市地方特色产业知识产权宣传和保护的提案》</w:t>
      </w:r>
      <w:r>
        <w:rPr>
          <w:rFonts w:eastAsia="仿宋_GB2312"/>
          <w:sz w:val="32"/>
          <w:szCs w:val="32"/>
        </w:rPr>
        <w:t>收悉，现答复如下：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近年来，我市高度重视知识产权各项工作，不断加强知识产权宣传和保护，为我市产业高质量发展提供了坚强支撑。</w:t>
      </w:r>
      <w:r>
        <w:rPr>
          <w:rFonts w:ascii="仿宋_GB2312" w:eastAsia="仿宋_GB2312" w:hAnsi="仿宋_GB2312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年，我市成功获批国家知识产权强市试点城市。</w:t>
      </w:r>
    </w:p>
    <w:p w:rsidR="00754996" w:rsidRDefault="00623554" w:rsidP="00655EB2">
      <w:p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加强知识产权宣传</w:t>
      </w:r>
      <w:r>
        <w:rPr>
          <w:rFonts w:ascii="黑体" w:eastAsia="黑体" w:hAnsi="黑体" w:cs="黑体" w:hint="eastAsia"/>
          <w:sz w:val="32"/>
          <w:szCs w:val="32"/>
        </w:rPr>
        <w:t>培训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市市场监管局</w:t>
      </w:r>
      <w:r>
        <w:rPr>
          <w:rFonts w:ascii="仿宋_GB2312" w:eastAsia="仿宋_GB2312" w:hAnsi="仿宋_GB2312" w:cs="仿宋_GB2312" w:hint="eastAsia"/>
          <w:sz w:val="32"/>
          <w:szCs w:val="32"/>
        </w:rPr>
        <w:t>每年召开</w:t>
      </w:r>
      <w:r>
        <w:rPr>
          <w:rFonts w:ascii="仿宋_GB2312" w:eastAsia="仿宋_GB2312" w:hAnsi="仿宋_GB2312" w:cs="仿宋_GB2312" w:hint="eastAsia"/>
          <w:sz w:val="32"/>
          <w:szCs w:val="32"/>
        </w:rPr>
        <w:t>知识产权工作新闻发布会，发布全市知识产权保护状况和十大知识产权典型案例，解读</w:t>
      </w:r>
      <w:r>
        <w:rPr>
          <w:rFonts w:ascii="仿宋_GB2312" w:eastAsia="仿宋_GB2312" w:hAnsi="仿宋_GB2312" w:cs="仿宋_GB2312" w:hint="eastAsia"/>
          <w:sz w:val="32"/>
          <w:szCs w:val="32"/>
        </w:rPr>
        <w:t>知识产权保护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政策措施。</w:t>
      </w:r>
      <w:r>
        <w:rPr>
          <w:rFonts w:ascii="仿宋_GB2312" w:eastAsia="仿宋_GB2312" w:hAnsi="仿宋_GB2312" w:cs="仿宋_GB2312" w:hint="eastAsia"/>
          <w:sz w:val="32"/>
          <w:szCs w:val="32"/>
        </w:rPr>
        <w:t>今年还</w:t>
      </w:r>
      <w:r>
        <w:rPr>
          <w:rFonts w:ascii="仿宋_GB2312" w:eastAsia="仿宋_GB2312" w:hAnsi="仿宋_GB2312" w:cs="仿宋_GB2312" w:hint="eastAsia"/>
          <w:sz w:val="32"/>
          <w:szCs w:val="32"/>
        </w:rPr>
        <w:t>联合市委宣传部、市司法局举办了连云港市首届知识产权法律知识竞赛，着力构建“以赛促学、以学促用”机制。召开数据知识产权保护宣讲会，引导企业挖掘数据价值，维护合法权益。举办涉外知识产权风险防控专题培训班，提升涉外企业知识产权风险防控意识和应对能力。开展了反不正当竞争你拍我查活动，对水晶制品市场仿冒混淆，宣传治病、养生功效等虚假宣传行为，海产品直播带货中的虚假宣传行为等六个方面开展反不正当竞争</w:t>
      </w:r>
      <w:r>
        <w:rPr>
          <w:rFonts w:ascii="仿宋_GB2312" w:eastAsia="仿宋_GB2312" w:hAnsi="仿宋_GB2312" w:cs="仿宋_GB2312" w:hint="eastAsia"/>
          <w:sz w:val="32"/>
          <w:szCs w:val="32"/>
        </w:rPr>
        <w:t>“</w:t>
      </w:r>
      <w:r>
        <w:rPr>
          <w:rFonts w:ascii="仿宋_GB2312" w:eastAsia="仿宋_GB2312" w:hAnsi="仿宋_GB2312" w:cs="仿宋_GB2312" w:hint="eastAsia"/>
          <w:sz w:val="32"/>
          <w:szCs w:val="32"/>
        </w:rPr>
        <w:t>你拍我查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活动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此外，还组织各县区开展知识产权进社区、进企业、进园区和进学校等活动，提升了社会公众尊重和保护知识产权的意</w:t>
      </w:r>
      <w:r>
        <w:rPr>
          <w:rFonts w:ascii="仿宋_GB2312" w:eastAsia="仿宋_GB2312" w:hAnsi="仿宋_GB2312" w:cs="仿宋_GB2312" w:hint="eastAsia"/>
          <w:sz w:val="32"/>
          <w:szCs w:val="32"/>
        </w:rPr>
        <w:t>识，为高质量发展营造了良好的舆论氛围。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市司法局通过“普法宣传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法律服务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风险防控”，推动特色产业从“野蛮生长”向“法治化发展”转型。将加强知识产权法治宣传教育工作纳入“八五”普法规划和年度法治宣讲教育重点事项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</w:t>
      </w:r>
      <w:r>
        <w:rPr>
          <w:rFonts w:ascii="仿宋_GB2312" w:eastAsia="仿宋_GB2312" w:hAnsi="仿宋_GB2312" w:cs="仿宋_GB2312" w:hint="eastAsia"/>
          <w:sz w:val="32"/>
          <w:szCs w:val="32"/>
        </w:rPr>
        <w:t>知识产权普法工作落到实处。通过《普法直播间》《晶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太子普法》等普法平台开展线上直播普法，聚焦知识产权侵权等直播电商痛点，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本地企业典型案例分析，详细讲解侵权认定标准及维权途径。结合民法典宣传月、知识产权宣传周等时间节点，组织法律服务团队深入电商企业，针对知识产权侵权、合同漏洞等高频问题出具整改建</w:t>
      </w:r>
      <w:r>
        <w:rPr>
          <w:rFonts w:ascii="仿宋_GB2312" w:eastAsia="仿宋_GB2312" w:hAnsi="仿宋_GB2312" w:cs="仿宋_GB2312" w:hint="eastAsia"/>
          <w:sz w:val="32"/>
          <w:szCs w:val="32"/>
        </w:rPr>
        <w:t>议书，帮助企业完善合规体系。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市检察院</w:t>
      </w:r>
      <w:r>
        <w:rPr>
          <w:rFonts w:ascii="仿宋_GB2312" w:eastAsia="仿宋_GB2312" w:hAnsi="仿宋_GB2312" w:cs="仿宋_GB2312" w:hint="eastAsia"/>
          <w:sz w:val="32"/>
          <w:szCs w:val="32"/>
        </w:rPr>
        <w:t>结合案件办理走进自贸区、东海水晶市场、赣榆电商直播基地，听取企业法治需求，提供近距离知识产权法治服务。针对个案或类案暴露出的问题，通过风险提示函、检察建议等多种形式，帮助企业堵塞知识产权保护漏洞，推动企业或行业规范治理，营造知识产权保护良好氛围。通过邀请</w:t>
      </w:r>
      <w:r>
        <w:rPr>
          <w:rFonts w:ascii="仿宋_GB2312" w:eastAsia="仿宋_GB2312" w:hAnsi="仿宋_GB2312" w:cs="仿宋_GB2312" w:hint="eastAsia"/>
          <w:sz w:val="32"/>
          <w:szCs w:val="32"/>
        </w:rPr>
        <w:t>有关</w:t>
      </w:r>
      <w:r>
        <w:rPr>
          <w:rFonts w:ascii="仿宋_GB2312" w:eastAsia="仿宋_GB2312" w:hAnsi="仿宋_GB2312" w:cs="仿宋_GB2312" w:hint="eastAsia"/>
          <w:sz w:val="32"/>
          <w:szCs w:val="32"/>
        </w:rPr>
        <w:t>企业代表观摩庭审、召开案件听证会、举办知识产权司法保护研讨会、论坛等多种形式，提升知识产权检察宣传效果。</w:t>
      </w:r>
    </w:p>
    <w:p w:rsidR="00754996" w:rsidRDefault="00623554" w:rsidP="00655EB2">
      <w:p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二、加强地理标志产品品牌建设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围绕特色品牌发展，市市场监管局不断推进地理标志商标和地理标志产品培育。</w:t>
      </w:r>
      <w:r>
        <w:rPr>
          <w:rFonts w:ascii="仿宋_GB2312" w:eastAsia="仿宋_GB2312" w:hAnsi="仿宋_GB2312" w:cs="仿宋_GB2312" w:hint="eastAsia"/>
          <w:sz w:val="32"/>
          <w:szCs w:val="32"/>
        </w:rPr>
        <w:t>截至目前，全市共培育地理标志保护产品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件，地理标志商标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件。其中“赣榆梭子蟹”“东海水晶”两项地理标志成功获批省地理标志培育保护项目。通过项目培育，进一步挖掘地理标志的产品价值和历史人文要素，打通产品开发、品牌策划推广等链条，提升地理标志品牌形象和品牌价值。</w:t>
      </w:r>
      <w:r>
        <w:rPr>
          <w:rFonts w:ascii="仿宋_GB2312" w:eastAsia="仿宋_GB2312" w:hAnsi="仿宋_GB2312" w:cs="仿宋_GB2312" w:hint="eastAsia"/>
          <w:sz w:val="32"/>
          <w:szCs w:val="32"/>
        </w:rPr>
        <w:t>今年我市</w:t>
      </w:r>
      <w:r>
        <w:rPr>
          <w:rFonts w:ascii="仿宋_GB2312" w:eastAsia="仿宋_GB2312" w:hAnsi="仿宋_GB2312" w:cs="仿宋_GB2312" w:hint="eastAsia"/>
          <w:sz w:val="32"/>
          <w:szCs w:val="32"/>
        </w:rPr>
        <w:t>还出台了地理标志培育奖励政策，对新获批地理标志保护产品或地理标志商标的申请单位（权利人）每个产品或每件商标给予</w:t>
      </w: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万元奖励。</w:t>
      </w:r>
    </w:p>
    <w:p w:rsidR="00754996" w:rsidRDefault="00623554" w:rsidP="00655EB2">
      <w:p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三、建立知识产权协同保护机制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市市场监管局联合市公、检、法、司、海关等部门签订了《知识产权协同保护合作框架协议》，构</w:t>
      </w:r>
      <w:r>
        <w:rPr>
          <w:rFonts w:ascii="仿宋_GB2312" w:eastAsia="仿宋_GB2312" w:hAnsi="仿宋_GB2312" w:cs="仿宋_GB2312" w:hint="eastAsia"/>
          <w:sz w:val="32"/>
          <w:szCs w:val="32"/>
        </w:rPr>
        <w:t>建了跨部门知识产权协同保护机制。</w:t>
      </w:r>
      <w:r>
        <w:rPr>
          <w:rFonts w:ascii="仿宋_GB2312" w:eastAsia="仿宋_GB2312" w:hAnsi="仿宋_GB2312" w:cs="仿宋_GB2312" w:hint="eastAsia"/>
          <w:sz w:val="32"/>
          <w:szCs w:val="32"/>
        </w:rPr>
        <w:t>调整</w:t>
      </w:r>
      <w:r>
        <w:rPr>
          <w:rFonts w:ascii="仿宋_GB2312" w:eastAsia="仿宋_GB2312" w:hAnsi="仿宋_GB2312" w:cs="仿宋_GB2312" w:hint="eastAsia"/>
          <w:sz w:val="32"/>
          <w:szCs w:val="32"/>
        </w:rPr>
        <w:t>市知识产权</w:t>
      </w:r>
      <w:r>
        <w:rPr>
          <w:rFonts w:ascii="仿宋_GB2312" w:eastAsia="仿宋_GB2312" w:hAnsi="仿宋_GB2312" w:cs="仿宋_GB2312" w:hint="eastAsia"/>
          <w:sz w:val="32"/>
          <w:szCs w:val="32"/>
        </w:rPr>
        <w:t>纠纷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人民调解委员会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实现</w:t>
      </w:r>
      <w:r>
        <w:rPr>
          <w:rFonts w:ascii="仿宋_GB2312" w:eastAsia="仿宋_GB2312" w:hAnsi="仿宋_GB2312" w:cs="仿宋_GB2312" w:hint="eastAsia"/>
          <w:sz w:val="32"/>
          <w:szCs w:val="32"/>
        </w:rPr>
        <w:t>人员重组、</w:t>
      </w:r>
      <w:r>
        <w:rPr>
          <w:rFonts w:ascii="仿宋_GB2312" w:eastAsia="仿宋_GB2312" w:hAnsi="仿宋_GB2312" w:cs="仿宋_GB2312" w:hint="eastAsia"/>
          <w:sz w:val="32"/>
          <w:szCs w:val="32"/>
        </w:rPr>
        <w:t>职能优化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市知识产权保护中心跻身国家级保护中心行列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快速审查、快速确权、快速维权机制不断完善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完善与法院系统诉调对接机制并常态化运行，</w:t>
      </w:r>
      <w:r>
        <w:rPr>
          <w:rFonts w:ascii="仿宋_GB2312" w:eastAsia="仿宋_GB2312" w:hAnsi="仿宋_GB2312" w:cs="仿宋_GB2312" w:hint="eastAsia"/>
          <w:sz w:val="32"/>
          <w:szCs w:val="32"/>
        </w:rPr>
        <w:t>诉前调解案件量逐年提升。市司法局</w:t>
      </w:r>
      <w:r>
        <w:rPr>
          <w:rFonts w:ascii="仿宋_GB2312" w:eastAsia="仿宋_GB2312" w:hAnsi="仿宋_GB2312" w:cs="仿宋_GB2312" w:hint="eastAsia"/>
          <w:sz w:val="32"/>
          <w:szCs w:val="32"/>
        </w:rPr>
        <w:t>建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立“法治体检”常态化机制，在重点产业园区设立法律服务站，在特色产业集聚区设立行业性调解组织，快速化解涉企纠纷。</w:t>
      </w:r>
      <w:r>
        <w:rPr>
          <w:rFonts w:ascii="仿宋_GB2312" w:eastAsia="仿宋_GB2312" w:hAnsi="仿宋_GB2312" w:cs="仿宋_GB2312" w:hint="eastAsia"/>
          <w:sz w:val="32"/>
          <w:szCs w:val="32"/>
        </w:rPr>
        <w:t>市检察院加强与公安机关、审判机关工作联动，</w:t>
      </w:r>
      <w:r>
        <w:rPr>
          <w:rFonts w:ascii="仿宋_GB2312" w:eastAsia="仿宋_GB2312" w:hAnsi="仿宋_GB2312" w:cs="仿宋_GB2312" w:hint="eastAsia"/>
          <w:sz w:val="32"/>
          <w:szCs w:val="32"/>
        </w:rPr>
        <w:t>与市场监管、版权等部门加强协作配合，</w:t>
      </w:r>
      <w:r>
        <w:rPr>
          <w:rFonts w:ascii="仿宋_GB2312" w:eastAsia="仿宋_GB2312" w:hAnsi="仿宋_GB2312" w:cs="仿宋_GB2312" w:hint="eastAsia"/>
          <w:sz w:val="32"/>
          <w:szCs w:val="32"/>
        </w:rPr>
        <w:t>联合出台</w:t>
      </w:r>
      <w:r>
        <w:rPr>
          <w:rFonts w:ascii="仿宋_GB2312" w:eastAsia="仿宋_GB2312" w:hAnsi="仿宋_GB2312" w:cs="仿宋_GB2312" w:hint="eastAsia"/>
          <w:sz w:val="32"/>
          <w:szCs w:val="32"/>
        </w:rPr>
        <w:t>《关于构建知识产权检察监督与行政执法衔接机制的意见》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强化线索通报、信息共享、线索双向移送</w:t>
      </w:r>
      <w:r>
        <w:rPr>
          <w:rFonts w:ascii="仿宋_GB2312" w:eastAsia="仿宋_GB2312" w:hAnsi="仿宋_GB2312" w:cs="仿宋_GB2312" w:hint="eastAsia"/>
          <w:sz w:val="32"/>
          <w:szCs w:val="32"/>
        </w:rPr>
        <w:t>等工作机制。通过与赣榆区电商协会联合出台《关于建立服务保障直播带货等新业态高质量发展协作机制的意见》等方式，加强与行业协会、高校合作，提升知识产权保护精准度和综合效能。</w:t>
      </w:r>
    </w:p>
    <w:p w:rsidR="00754996" w:rsidRDefault="00623554" w:rsidP="00655EB2">
      <w:pPr>
        <w:spacing w:line="4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四、下步工作打算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针对</w:t>
      </w:r>
      <w:r>
        <w:rPr>
          <w:rFonts w:ascii="仿宋_GB2312" w:eastAsia="仿宋_GB2312" w:hAnsi="仿宋_GB2312" w:cs="仿宋_GB2312" w:hint="eastAsia"/>
          <w:sz w:val="32"/>
          <w:szCs w:val="32"/>
        </w:rPr>
        <w:t>提出</w:t>
      </w:r>
      <w:r>
        <w:rPr>
          <w:rFonts w:ascii="仿宋_GB2312" w:eastAsia="仿宋_GB2312" w:hAnsi="仿宋_GB2312" w:cs="仿宋_GB2312" w:hint="eastAsia"/>
          <w:sz w:val="32"/>
          <w:szCs w:val="32"/>
        </w:rPr>
        <w:t>的三</w:t>
      </w:r>
      <w:r>
        <w:rPr>
          <w:rFonts w:ascii="仿宋_GB2312" w:eastAsia="仿宋_GB2312" w:hAnsi="仿宋_GB2312" w:cs="仿宋_GB2312" w:hint="eastAsia"/>
          <w:sz w:val="32"/>
          <w:szCs w:val="32"/>
        </w:rPr>
        <w:t>个方面的建议，我局将会同市相关部门积极研究采纳，全力</w:t>
      </w:r>
      <w:r>
        <w:rPr>
          <w:rFonts w:ascii="仿宋_GB2312" w:eastAsia="仿宋_GB2312" w:hAnsi="仿宋_GB2312" w:cs="仿宋_GB2312" w:hint="eastAsia"/>
          <w:sz w:val="32"/>
          <w:szCs w:val="32"/>
        </w:rPr>
        <w:t>推进知识产权宣传保护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一是继续加强知识产权宣传</w:t>
      </w:r>
      <w:r>
        <w:rPr>
          <w:rFonts w:ascii="楷体_GB2312" w:eastAsia="楷体_GB2312" w:hAnsi="楷体_GB2312" w:cs="楷体_GB2312" w:hint="eastAsia"/>
          <w:sz w:val="32"/>
          <w:szCs w:val="32"/>
        </w:rPr>
        <w:t>指导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采用通俗易懂，形式多样的宣传模式，充分利用线上新媒体平台，提升全社会对知识产权的保护意识。加强行业指导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通过召开专题培训，增强重点企业和特色行业从业者的知识产权保护意识，</w:t>
      </w:r>
      <w:r>
        <w:rPr>
          <w:rFonts w:ascii="仿宋_GB2312" w:eastAsia="仿宋_GB2312" w:hAnsi="仿宋_GB2312" w:cs="仿宋_GB2312" w:hint="eastAsia"/>
          <w:sz w:val="32"/>
          <w:szCs w:val="32"/>
        </w:rPr>
        <w:t>提升知识产权保护和运用的能力。加强地理标志宣传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组织我市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地理标志产品参加展销活动，扩大我市地理标志产品享誉度。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二是加强地理标志推广和保护。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地理标志专用标识申领和使用实务培训，组织有关知识产权服务机构、质量检测机构为企业提供专业服务，帮助企业获取专用标志使用资格。建立完善地理标志维权保护机制，加强地理标志专用标志使用监督管理，加强执法检查和日常监管，每年组织开展地理标志保护专项行动，严厉打击地理标志侵权假冒行为。开展地理标志保护宣传，规范地理标志产品专用标志的印制和使用，提升生产者、经营者、消费者地理标志保护意识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促进地理标志产品市场的健康发展。</w:t>
      </w:r>
    </w:p>
    <w:p w:rsidR="00754996" w:rsidRDefault="00623554" w:rsidP="00655EB2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三是进一步完善知识产权协同保护机制。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进一步加强部门之间的协作配合，健全完善快速协同保护工作机制</w:t>
      </w:r>
      <w:r>
        <w:rPr>
          <w:rFonts w:ascii="仿宋_GB2312" w:eastAsia="仿宋_GB2312" w:hAnsi="仿宋_GB2312" w:cs="仿宋_GB2312" w:hint="eastAsia"/>
          <w:sz w:val="32"/>
          <w:szCs w:val="32"/>
        </w:rPr>
        <w:t>，加强信息共享和执法联动，提高快速协同保护的效率和水平。推动市知识产权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保护中心与县区保护分中心的业务协同，形成工作合力，为市场主体提供更加高效便捷的知识产权保护服务。</w:t>
      </w:r>
      <w:r>
        <w:rPr>
          <w:rFonts w:ascii="仿宋_GB2312" w:eastAsia="仿宋_GB2312" w:hAnsi="仿宋_GB2312" w:cs="仿宋_GB2312" w:hint="eastAsia"/>
          <w:sz w:val="32"/>
          <w:szCs w:val="32"/>
        </w:rPr>
        <w:t>积极推进知识产权人民调解组织建设，配备知识产权领域专职人民调解员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推进非诉调解工作机制迈向更高水平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754996" w:rsidRDefault="00754996" w:rsidP="00655EB2">
      <w:pPr>
        <w:spacing w:line="44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754996" w:rsidRDefault="00754996" w:rsidP="00655EB2">
      <w:pPr>
        <w:spacing w:line="44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754996" w:rsidRDefault="00623554" w:rsidP="00655EB2">
      <w:pPr>
        <w:overflowPunct w:val="0"/>
        <w:spacing w:line="44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连云港市市场监督管理局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</w:p>
    <w:p w:rsidR="00754996" w:rsidRDefault="00623554" w:rsidP="00655EB2">
      <w:pPr>
        <w:overflowPunct w:val="0"/>
        <w:spacing w:line="44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</w:t>
      </w:r>
    </w:p>
    <w:p w:rsidR="00754996" w:rsidRDefault="00754996" w:rsidP="00655EB2">
      <w:pPr>
        <w:spacing w:line="44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754996" w:rsidRDefault="00623554" w:rsidP="00655EB2">
      <w:pPr>
        <w:spacing w:line="44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人：</w:t>
      </w:r>
      <w:r>
        <w:rPr>
          <w:rFonts w:ascii="Times New Roman" w:eastAsia="仿宋_GB2312" w:hAnsi="Times New Roman" w:hint="eastAsia"/>
          <w:sz w:val="32"/>
          <w:szCs w:val="32"/>
        </w:rPr>
        <w:t>李子龙</w:t>
      </w:r>
    </w:p>
    <w:p w:rsidR="00754996" w:rsidRDefault="00623554" w:rsidP="00655EB2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85801817</w:t>
      </w:r>
    </w:p>
    <w:sectPr w:rsidR="00754996" w:rsidSect="00754996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554" w:rsidRDefault="00623554" w:rsidP="00754996">
      <w:r>
        <w:separator/>
      </w:r>
    </w:p>
  </w:endnote>
  <w:endnote w:type="continuationSeparator" w:id="1">
    <w:p w:rsidR="00623554" w:rsidRDefault="00623554" w:rsidP="00754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8BEF36DE-66B3-49FE-9392-A208020AC4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8E0408D-7F33-4D60-83B5-867DA545EB78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46ACD1BA-B545-4384-98F8-FD512D68F0D2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331BA68-AFC1-48FE-8F89-740D70EB2DA2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BBA5827A-ACED-4F76-B90E-4B0FAC519605}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6" w:subsetted="1" w:fontKey="{2161DCCA-2A70-46E5-BFBD-141AFF9A9497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996" w:rsidRDefault="00754996">
    <w:pPr>
      <w:pStyle w:val="a7"/>
      <w:jc w:val="center"/>
      <w:rPr>
        <w:sz w:val="28"/>
        <w:szCs w:val="28"/>
      </w:rPr>
    </w:pPr>
    <w:r w:rsidRPr="0075499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754996" w:rsidRDefault="00623554">
                <w:pPr>
                  <w:pStyle w:val="a7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754996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754996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655EB2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 w:rsidR="00754996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754996" w:rsidRDefault="007549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554" w:rsidRDefault="00623554" w:rsidP="00754996">
      <w:r>
        <w:separator/>
      </w:r>
    </w:p>
  </w:footnote>
  <w:footnote w:type="continuationSeparator" w:id="1">
    <w:p w:rsidR="00623554" w:rsidRDefault="00623554" w:rsidP="007549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2345FF"/>
    <w:rsid w:val="00242719"/>
    <w:rsid w:val="00265F12"/>
    <w:rsid w:val="0028758D"/>
    <w:rsid w:val="002D10E6"/>
    <w:rsid w:val="0030451F"/>
    <w:rsid w:val="003206C3"/>
    <w:rsid w:val="00347B26"/>
    <w:rsid w:val="00392D5F"/>
    <w:rsid w:val="003A2130"/>
    <w:rsid w:val="00446C85"/>
    <w:rsid w:val="00487E7D"/>
    <w:rsid w:val="004B5A85"/>
    <w:rsid w:val="004B5D73"/>
    <w:rsid w:val="00504CF3"/>
    <w:rsid w:val="00596936"/>
    <w:rsid w:val="005A612F"/>
    <w:rsid w:val="005F3C6B"/>
    <w:rsid w:val="00610EBD"/>
    <w:rsid w:val="00623554"/>
    <w:rsid w:val="00625DE8"/>
    <w:rsid w:val="006449D7"/>
    <w:rsid w:val="006548CC"/>
    <w:rsid w:val="00655EB2"/>
    <w:rsid w:val="0066259A"/>
    <w:rsid w:val="006B41FC"/>
    <w:rsid w:val="006C107C"/>
    <w:rsid w:val="006D4DBD"/>
    <w:rsid w:val="0073044F"/>
    <w:rsid w:val="00754996"/>
    <w:rsid w:val="00760C5C"/>
    <w:rsid w:val="007846DA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6347E4F"/>
    <w:rsid w:val="1DEE0CA9"/>
    <w:rsid w:val="209B3D66"/>
    <w:rsid w:val="2214688B"/>
    <w:rsid w:val="25D433CD"/>
    <w:rsid w:val="2A520B9A"/>
    <w:rsid w:val="2A9245AE"/>
    <w:rsid w:val="2B625CCE"/>
    <w:rsid w:val="2BDC5041"/>
    <w:rsid w:val="2CA52D4B"/>
    <w:rsid w:val="2DBF432F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95B3476"/>
    <w:rsid w:val="4B642CC3"/>
    <w:rsid w:val="4D102293"/>
    <w:rsid w:val="4D455D2F"/>
    <w:rsid w:val="52977163"/>
    <w:rsid w:val="578F7356"/>
    <w:rsid w:val="59FB381C"/>
    <w:rsid w:val="5AC27BC1"/>
    <w:rsid w:val="5BA95BF3"/>
    <w:rsid w:val="5D5766B6"/>
    <w:rsid w:val="5FC01197"/>
    <w:rsid w:val="5FF55A00"/>
    <w:rsid w:val="64B82DC0"/>
    <w:rsid w:val="65C86549"/>
    <w:rsid w:val="6722119D"/>
    <w:rsid w:val="6B0B6A4F"/>
    <w:rsid w:val="6E01311F"/>
    <w:rsid w:val="6F276355"/>
    <w:rsid w:val="71DE130E"/>
    <w:rsid w:val="7319454A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75499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754996"/>
    <w:pPr>
      <w:jc w:val="left"/>
    </w:pPr>
  </w:style>
  <w:style w:type="paragraph" w:styleId="a4">
    <w:name w:val="Body Text"/>
    <w:basedOn w:val="a"/>
    <w:next w:val="a"/>
    <w:qFormat/>
    <w:rsid w:val="00754996"/>
    <w:pPr>
      <w:spacing w:after="1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754996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sid w:val="00754996"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rsid w:val="007549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rsid w:val="007549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7549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BodyTextIndent1"/>
    <w:qFormat/>
    <w:rsid w:val="00754996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754996"/>
    <w:pPr>
      <w:spacing w:after="120"/>
      <w:ind w:leftChars="200" w:left="420"/>
    </w:pPr>
  </w:style>
  <w:style w:type="paragraph" w:styleId="ab">
    <w:name w:val="annotation subject"/>
    <w:basedOn w:val="a3"/>
    <w:next w:val="a3"/>
    <w:link w:val="Char4"/>
    <w:uiPriority w:val="99"/>
    <w:semiHidden/>
    <w:unhideWhenUsed/>
    <w:qFormat/>
    <w:rsid w:val="00754996"/>
    <w:rPr>
      <w:b/>
      <w:bCs/>
    </w:rPr>
  </w:style>
  <w:style w:type="table" w:styleId="ac">
    <w:name w:val="Table Grid"/>
    <w:basedOn w:val="a1"/>
    <w:autoRedefine/>
    <w:uiPriority w:val="39"/>
    <w:qFormat/>
    <w:rsid w:val="00754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qFormat/>
    <w:rsid w:val="00754996"/>
  </w:style>
  <w:style w:type="character" w:styleId="ae">
    <w:name w:val="Hyperlink"/>
    <w:basedOn w:val="a0"/>
    <w:uiPriority w:val="99"/>
    <w:semiHidden/>
    <w:unhideWhenUsed/>
    <w:qFormat/>
    <w:rsid w:val="00754996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754996"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rsid w:val="00754996"/>
    <w:pPr>
      <w:ind w:firstLineChars="200" w:firstLine="420"/>
    </w:pPr>
  </w:style>
  <w:style w:type="character" w:customStyle="1" w:styleId="Char3">
    <w:name w:val="页眉 Char"/>
    <w:basedOn w:val="a0"/>
    <w:link w:val="a8"/>
    <w:autoRedefine/>
    <w:uiPriority w:val="99"/>
    <w:qFormat/>
    <w:rsid w:val="00754996"/>
    <w:rPr>
      <w:sz w:val="18"/>
      <w:szCs w:val="18"/>
    </w:rPr>
  </w:style>
  <w:style w:type="character" w:customStyle="1" w:styleId="Char2">
    <w:name w:val="页脚 Char"/>
    <w:basedOn w:val="a0"/>
    <w:link w:val="a7"/>
    <w:autoRedefine/>
    <w:uiPriority w:val="99"/>
    <w:qFormat/>
    <w:rsid w:val="00754996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754996"/>
  </w:style>
  <w:style w:type="character" w:customStyle="1" w:styleId="Char4">
    <w:name w:val="批注主题 Char"/>
    <w:basedOn w:val="Char"/>
    <w:link w:val="ab"/>
    <w:uiPriority w:val="99"/>
    <w:semiHidden/>
    <w:qFormat/>
    <w:rsid w:val="00754996"/>
    <w:rPr>
      <w:b/>
      <w:bCs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754996"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754996"/>
  </w:style>
  <w:style w:type="character" w:customStyle="1" w:styleId="font11">
    <w:name w:val="font11"/>
    <w:basedOn w:val="a0"/>
    <w:qFormat/>
    <w:rsid w:val="00754996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754996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344</Words>
  <Characters>1965</Characters>
  <Application>Microsoft Office Word</Application>
  <DocSecurity>0</DocSecurity>
  <Lines>16</Lines>
  <Paragraphs>4</Paragraphs>
  <ScaleCrop>false</ScaleCrop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