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A1196A">
      <w:pPr>
        <w:pStyle w:val="66"/>
        <w:framePr w:wrap="around"/>
      </w:pPr>
      <w:r>
        <w:rPr>
          <w:rFonts w:ascii="Times New Roman"/>
        </w:rPr>
        <w:t>ICS</w:t>
      </w:r>
      <w:r>
        <w:rPr>
          <w:rFonts w:hAnsi="黑体"/>
        </w:rPr>
        <w:t> </w:t>
      </w:r>
      <w:r>
        <w:rPr>
          <w:rFonts w:hint="eastAsia"/>
        </w:rPr>
        <w:t>65.020.20</w:t>
      </w:r>
    </w:p>
    <w:p w14:paraId="78295E5C">
      <w:pPr>
        <w:pStyle w:val="66"/>
        <w:framePr w:wrap="around"/>
        <w:rPr>
          <w:rFonts w:ascii="Times New Roman" w:eastAsia="宋体"/>
          <w:b/>
          <w:color w:val="000000"/>
          <w:w w:val="130"/>
          <w:sz w:val="96"/>
          <w:szCs w:val="96"/>
        </w:rPr>
      </w:pPr>
      <w:r>
        <w:rPr>
          <w:rFonts w:hint="eastAsia"/>
        </w:rPr>
        <w:t>CCS B22</w:t>
      </w:r>
    </w:p>
    <w:p w14:paraId="0CA9B267">
      <w:pPr>
        <w:pStyle w:val="58"/>
        <w:framePr w:w="4301" w:h="1449" w:hRule="exact" w:wrap="around" w:vAnchor="page" w:hAnchor="page" w:x="7113" w:y="815"/>
        <w:jc w:val="center"/>
      </w:pPr>
      <w:r>
        <w:rPr>
          <w:rFonts w:hint="eastAsia"/>
          <w:color w:val="000000"/>
          <w:w w:val="130"/>
        </w:rPr>
        <w:t>DB3207</w:t>
      </w:r>
    </w:p>
    <w:p w14:paraId="0CFBADD9">
      <w:pPr>
        <w:pStyle w:val="108"/>
        <w:framePr w:wrap="around"/>
      </w:pPr>
      <w:r>
        <w:rPr>
          <w:rFonts w:hint="eastAsia" w:ascii="黑体" w:hAnsi="宋体" w:eastAsia="黑体"/>
          <w:b w:val="0"/>
          <w:bCs w:val="0"/>
          <w:color w:val="000000"/>
          <w:spacing w:val="-40"/>
          <w:w w:val="100"/>
          <w:szCs w:val="52"/>
        </w:rPr>
        <w:t>连云港市地方标准</w:t>
      </w:r>
    </w:p>
    <w:p w14:paraId="0BC5E089">
      <w:pPr>
        <w:pStyle w:val="130"/>
        <w:framePr w:wrap="around"/>
      </w:pPr>
      <w:r>
        <w:rPr>
          <w:rFonts w:hint="eastAsia" w:ascii="Times New Roman"/>
        </w:rPr>
        <w:t>DB3207</w:t>
      </w:r>
      <w:r>
        <w:rPr>
          <w:rFonts w:ascii="Times New Roman"/>
        </w:rPr>
        <w:t xml:space="preserve">/T </w:t>
      </w:r>
      <w:r>
        <w:fldChar w:fldCharType="begin">
          <w:ffData>
            <w:name w:val="StdNo1"/>
            <w:enabled/>
            <w:calcOnExit w:val="0"/>
            <w:textInput>
              <w:default w:val="XXXXX"/>
            </w:textInput>
          </w:ffData>
        </w:fldChar>
      </w:r>
      <w:bookmarkStart w:id="0" w:name="StdNo1"/>
      <w:r>
        <w:instrText xml:space="preserve"> FORMTEXT </w:instrText>
      </w:r>
      <w:r>
        <w:fldChar w:fldCharType="separate"/>
      </w:r>
      <w:r>
        <w:t>XXXXX</w:t>
      </w:r>
      <w:r>
        <w:fldChar w:fldCharType="end"/>
      </w:r>
      <w:bookmarkEnd w:id="0"/>
      <w:r>
        <w:t>—</w:t>
      </w:r>
      <w:r>
        <w:fldChar w:fldCharType="begin">
          <w:ffData>
            <w:name w:val="StdNo2"/>
            <w:enabled/>
            <w:calcOnExit w:val="0"/>
            <w:textInput>
              <w:default w:val="XXXX"/>
              <w:maxLength w:val="4"/>
            </w:textInput>
          </w:ffData>
        </w:fldChar>
      </w:r>
      <w:bookmarkStart w:id="1" w:name="StdNo2"/>
      <w:r>
        <w:instrText xml:space="preserve"> FORMTEXT </w:instrText>
      </w:r>
      <w:r>
        <w:fldChar w:fldCharType="separate"/>
      </w:r>
      <w:r>
        <w:t>XXXX</w:t>
      </w:r>
      <w:r>
        <w:fldChar w:fldCharType="end"/>
      </w:r>
      <w:bookmarkEnd w:id="1"/>
    </w:p>
    <w:tbl>
      <w:tblPr>
        <w:tblStyle w:val="4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543456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4F021BAA">
            <w:pPr>
              <w:pStyle w:val="124"/>
              <w:framePr w:wrap="around"/>
            </w:pPr>
            <w:r>
              <w:pict>
                <v:rect id="DT" o:spid="_x0000_s1026" o:spt="1" style="position:absolute;left:0pt;margin-left:372.8pt;margin-top:2.7pt;height:18pt;width:90pt;z-index:-251657216;mso-width-relative:page;mso-height-relative:page;"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B5g8svWAAAA&#10;CAEAAA8AAAAAAAAAAQAgAAAAIgAAAGRycy9kb3ducmV2LnhtbFBLAQIUABQAAAAIAIdO4kD1RjTn&#10;rQEAAHUDAAAOAAAAAAAAAAEAIAAAACUBAABkcnMvZTJvRG9jLnhtbFBLBQYAAAAABgAGAFkBAABE&#10;BQAAAAA=&#10;">
                  <v:path/>
                  <v:fill focussize="0,0"/>
                  <v:stroke on="f"/>
                  <v:imagedata o:title=""/>
                  <o:lock v:ext="edit"/>
                </v:rect>
              </w:pict>
            </w:r>
            <w:r>
              <w:fldChar w:fldCharType="begin">
                <w:ffData>
                  <w:name w:val="DT"/>
                  <w:enabled/>
                  <w:calcOnExit w:val="0"/>
                  <w:textInput/>
                </w:ffData>
              </w:fldChar>
            </w:r>
            <w:bookmarkStart w:id="2" w:name="DT"/>
            <w:r>
              <w:instrText xml:space="preserve"> FORMTEXT </w:instrText>
            </w:r>
            <w:r>
              <w:fldChar w:fldCharType="separate"/>
            </w:r>
            <w:r>
              <w:t>     </w:t>
            </w:r>
            <w:r>
              <w:fldChar w:fldCharType="end"/>
            </w:r>
            <w:bookmarkEnd w:id="2"/>
          </w:p>
        </w:tc>
      </w:tr>
    </w:tbl>
    <w:p w14:paraId="5D7327D9">
      <w:pPr>
        <w:pStyle w:val="130"/>
        <w:framePr w:wrap="around"/>
      </w:pPr>
    </w:p>
    <w:p w14:paraId="40A130B4">
      <w:pPr>
        <w:pStyle w:val="130"/>
        <w:framePr w:wrap="around"/>
      </w:pPr>
    </w:p>
    <w:p w14:paraId="2474E5ED">
      <w:pPr>
        <w:pStyle w:val="71"/>
        <w:framePr w:w="10284" w:wrap="around" w:x="1153" w:y="6048"/>
      </w:pPr>
      <w:r>
        <w:rPr>
          <w:rFonts w:hint="eastAsia"/>
        </w:rPr>
        <w:t>籼粳杂交稻优质高产栽培技术规程</w:t>
      </w:r>
    </w:p>
    <w:p w14:paraId="71F592EF">
      <w:pPr>
        <w:pStyle w:val="71"/>
        <w:framePr w:w="10284" w:wrap="around" w:x="1153" w:y="6048"/>
        <w:spacing w:line="360" w:lineRule="exact"/>
        <w:rPr>
          <w:rFonts w:ascii="Times New Roman"/>
          <w:color w:val="000000"/>
          <w:sz w:val="28"/>
          <w:szCs w:val="28"/>
        </w:rPr>
      </w:pPr>
    </w:p>
    <w:p w14:paraId="2D0180AB">
      <w:pPr>
        <w:pStyle w:val="71"/>
        <w:framePr w:w="10284" w:wrap="around" w:x="1153" w:y="6048"/>
        <w:spacing w:line="360" w:lineRule="exact"/>
        <w:rPr>
          <w:rFonts w:hAnsi="黑体"/>
          <w:sz w:val="28"/>
          <w:szCs w:val="28"/>
        </w:rPr>
      </w:pPr>
      <w:r>
        <w:rPr>
          <w:rFonts w:hAnsi="黑体"/>
          <w:sz w:val="28"/>
          <w:szCs w:val="28"/>
        </w:rPr>
        <w:t>Technical specifications for high-quality and high-yield cultivation of indica-japonica hybrid rice</w:t>
      </w:r>
    </w:p>
    <w:tbl>
      <w:tblPr>
        <w:tblStyle w:val="4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6F3F63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48D02474">
            <w:pPr>
              <w:pStyle w:val="94"/>
              <w:framePr w:w="10284" w:wrap="around" w:x="1153" w:y="6048"/>
            </w:pPr>
            <w:r>
              <w:pict>
                <v:rect id="LB" o:spid="_x0000_s1031" o:spt="1" style="position:absolute;left:0pt;margin-left:194.05pt;margin-top:19.4pt;height:24pt;width:100pt;z-index:-251656192;mso-width-relative:page;mso-height-relative:page;" stroked="f" coordsize="21600,21600" o:gfxdata="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JDlTn1AAAAAkB&#10;AAAPAAAAAAAAAAEAIAAAACIAAABkcnMvZG93bnJldi54bWxQSwECFAAUAAAACACHTuJA0cEl0q0B&#10;AAB1AwAADgAAAAAAAAABACAAAAAjAQAAZHJzL2Uyb0RvYy54bWxQSwUGAAAAAAYABgBZAQAAQgUA&#10;AAAA&#10;">
                  <v:path/>
                  <v:fill focussize="0,0"/>
                  <v:stroke on="f"/>
                  <v:imagedata o:title=""/>
                  <o:lock v:ext="edit"/>
                </v:rect>
              </w:pict>
            </w:r>
            <w:r>
              <w:pict>
                <v:rect id="RQ" o:spid="_x0000_s1030" o:spt="1" style="position:absolute;left:0pt;margin-left:173.3pt;margin-top:45.15pt;height:20pt;width:150pt;z-index:-251655168;mso-width-relative:page;mso-height-relative:page;"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AWJrpLVAAAA&#10;CgEAAA8AAAAAAAAAAQAgAAAAIgAAAGRycy9kb3ducmV2LnhtbFBLAQIUABQAAAAIAIdO4kAkXwNL&#10;rgEAAHUDAAAOAAAAAAAAAAEAIAAAACQBAABkcnMvZTJvRG9jLnhtbFBLBQYAAAAABgAGAFkBAABE&#10;BQAAAAA=&#10;">
                  <v:path/>
                  <v:fill focussize="0,0"/>
                  <v:stroke on="f"/>
                  <v:imagedata o:title=""/>
                  <o:lock v:ext="edit"/>
                  <w10:anchorlock/>
                </v:rect>
              </w:pict>
            </w:r>
            <w:r>
              <w:rPr>
                <w:rFonts w:hint="eastAsia"/>
              </w:rPr>
              <w:t>（征求意见稿）</w:t>
            </w:r>
          </w:p>
        </w:tc>
      </w:tr>
      <w:tr w14:paraId="702D21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1B269C90">
            <w:pPr>
              <w:pStyle w:val="117"/>
              <w:framePr w:w="10284" w:wrap="around" w:x="1153" w:y="6048"/>
            </w:pPr>
            <w:r>
              <w:fldChar w:fldCharType="begin">
                <w:ffData>
                  <w:name w:val="WCRQ"/>
                  <w:enabled/>
                  <w:calcOnExit w:val="0"/>
                  <w:textInput/>
                </w:ffData>
              </w:fldChar>
            </w:r>
            <w:bookmarkStart w:id="3" w:name="WCRQ"/>
            <w:r>
              <w:instrText xml:space="preserve"> FORMTEXT </w:instrText>
            </w:r>
            <w:r>
              <w:fldChar w:fldCharType="separate"/>
            </w:r>
            <w:r>
              <w:t>     </w:t>
            </w:r>
            <w:r>
              <w:fldChar w:fldCharType="end"/>
            </w:r>
            <w:bookmarkEnd w:id="3"/>
          </w:p>
        </w:tc>
      </w:tr>
      <w:tr w14:paraId="41F67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2B31D75A">
            <w:pPr>
              <w:pStyle w:val="117"/>
              <w:framePr w:w="10284" w:wrap="around" w:x="1153" w:y="6048"/>
              <w:spacing w:line="360" w:lineRule="auto"/>
            </w:pPr>
          </w:p>
        </w:tc>
      </w:tr>
    </w:tbl>
    <w:p w14:paraId="6CEDCFCE">
      <w:pPr>
        <w:pStyle w:val="137"/>
        <w:framePr w:wrap="around" w:hAnchor="page" w:x="1111" w:y="14082"/>
        <w:spacing w:line="360" w:lineRule="auto"/>
      </w:pPr>
      <w:r>
        <w:rPr>
          <w:rFonts w:ascii="黑体"/>
        </w:rPr>
        <w:fldChar w:fldCharType="begin">
          <w:ffData>
            <w:name w:val="FY"/>
            <w:enabled/>
            <w:calcOnExit w:val="0"/>
            <w:textInput>
              <w:default w:val="XXXX"/>
              <w:maxLength w:val="4"/>
            </w:textInput>
          </w:ffData>
        </w:fldChar>
      </w:r>
      <w:bookmarkStart w:id="4" w:name="FY"/>
      <w:r>
        <w:rPr>
          <w:rFonts w:ascii="黑体"/>
        </w:rPr>
        <w:instrText xml:space="preserve"> FORMTEXT </w:instrText>
      </w:r>
      <w:r>
        <w:rPr>
          <w:rFonts w:ascii="黑体"/>
        </w:rPr>
        <w:fldChar w:fldCharType="separate"/>
      </w:r>
      <w:r>
        <w:rPr>
          <w:rFonts w:ascii="黑体"/>
        </w:rPr>
        <w:t>XXXX</w:t>
      </w:r>
      <w:r>
        <w:rPr>
          <w:rFonts w:ascii="黑体"/>
        </w:rPr>
        <w:fldChar w:fldCharType="end"/>
      </w:r>
      <w:bookmarkEnd w:id="4"/>
      <w:r>
        <w:rPr>
          <w:rFonts w:ascii="黑体"/>
        </w:rPr>
        <w:t>-</w:t>
      </w:r>
      <w:r>
        <w:rPr>
          <w:rFonts w:ascii="黑体"/>
        </w:rPr>
        <w:fldChar w:fldCharType="begin">
          <w:ffData>
            <w:name w:val="FM"/>
            <w:enabled/>
            <w:calcOnExit w:val="0"/>
            <w:textInput>
              <w:default w:val="XX"/>
              <w:maxLength w:val="2"/>
            </w:textInput>
          </w:ffData>
        </w:fldChar>
      </w:r>
      <w:bookmarkStart w:id="5" w:name="FM"/>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rPr>
          <w:rFonts w:ascii="黑体"/>
        </w:rPr>
        <w:t>-</w:t>
      </w:r>
      <w:r>
        <w:rPr>
          <w:rFonts w:ascii="黑体"/>
        </w:rPr>
        <w:fldChar w:fldCharType="begin">
          <w:ffData>
            <w:name w:val="FD"/>
            <w:enabled/>
            <w:calcOnExit w:val="0"/>
            <w:textInput>
              <w:default w:val="XX"/>
              <w:maxLength w:val="2"/>
            </w:textInput>
          </w:ffData>
        </w:fldChar>
      </w:r>
      <w:bookmarkStart w:id="6" w:name="FD"/>
      <w:r>
        <w:rPr>
          <w:rFonts w:ascii="黑体"/>
        </w:rPr>
        <w:instrText xml:space="preserve"> FORMTEXT </w:instrText>
      </w:r>
      <w:r>
        <w:rPr>
          <w:rFonts w:ascii="黑体"/>
        </w:rPr>
        <w:fldChar w:fldCharType="separate"/>
      </w:r>
      <w:r>
        <w:rPr>
          <w:rFonts w:ascii="黑体"/>
        </w:rPr>
        <w:t>XX</w:t>
      </w:r>
      <w:r>
        <w:rPr>
          <w:rFonts w:ascii="黑体"/>
        </w:rPr>
        <w:fldChar w:fldCharType="end"/>
      </w:r>
      <w:bookmarkEnd w:id="6"/>
      <w:r>
        <w:rPr>
          <w:rFonts w:hint="eastAsia"/>
        </w:rPr>
        <w:t>发布</w:t>
      </w:r>
      <w:r>
        <w:pict>
          <v:line id="直线 10" o:spid="_x0000_s1029" o:spt="20" style="position:absolute;left:0pt;margin-left:-0.05pt;margin-top:728.5pt;height:0pt;width:481.9pt;mso-position-vertical-relative:page;z-index:251662336;mso-width-relative:page;mso-height-relative:page;"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WH&#10;azzWAAAACwEAAA8AAAAAAAAAAQAgAAAAIgAAAGRycy9kb3ducmV2LnhtbFBLAQIUABQAAAAIAIdO&#10;4kDqkCN17AEAAOoDAAAOAAAAAAAAAAEAIAAAACUBAABkcnMvZTJvRG9jLnhtbFBLBQYAAAAABgAG&#10;AFkBAACDBQAAAAA=&#10;">
            <v:path arrowok="t"/>
            <v:fill focussize="0,0"/>
            <v:stroke/>
            <v:imagedata o:title=""/>
            <o:lock v:ext="edit"/>
            <w10:anchorlock/>
          </v:line>
        </w:pict>
      </w:r>
    </w:p>
    <w:p w14:paraId="7A0D7683">
      <w:pPr>
        <w:pStyle w:val="75"/>
        <w:framePr w:wrap="around" w:hAnchor="page" w:x="6601" w:y="13992"/>
        <w:spacing w:line="360" w:lineRule="auto"/>
      </w:pPr>
      <w:r>
        <w:rPr>
          <w:rFonts w:ascii="黑体"/>
        </w:rPr>
        <w:fldChar w:fldCharType="begin">
          <w:ffData>
            <w:name w:val="SY"/>
            <w:enabled/>
            <w:calcOnExit w:val="0"/>
            <w:textInput>
              <w:default w:val="XXXX"/>
              <w:maxLength w:val="4"/>
            </w:textInput>
          </w:ffData>
        </w:fldChar>
      </w:r>
      <w:bookmarkStart w:id="7" w:name="SY"/>
      <w:r>
        <w:rPr>
          <w:rFonts w:ascii="黑体"/>
        </w:rPr>
        <w:instrText xml:space="preserve"> FORMTEXT </w:instrText>
      </w:r>
      <w:r>
        <w:rPr>
          <w:rFonts w:ascii="黑体"/>
        </w:rPr>
        <w:fldChar w:fldCharType="separate"/>
      </w:r>
      <w:r>
        <w:rPr>
          <w:rFonts w:ascii="黑体"/>
        </w:rPr>
        <w:t>XXXX</w:t>
      </w:r>
      <w:r>
        <w:rPr>
          <w:rFonts w:ascii="黑体"/>
        </w:rPr>
        <w:fldChar w:fldCharType="end"/>
      </w:r>
      <w:bookmarkEnd w:id="7"/>
      <w:r>
        <w:rPr>
          <w:rFonts w:ascii="黑体"/>
        </w:rPr>
        <w:t>-</w:t>
      </w:r>
      <w:r>
        <w:rPr>
          <w:rFonts w:ascii="黑体"/>
        </w:rPr>
        <w:fldChar w:fldCharType="begin">
          <w:ffData>
            <w:name w:val="SM"/>
            <w:enabled/>
            <w:calcOnExit w:val="0"/>
            <w:textInput>
              <w:default w:val="XX"/>
              <w:maxLength w:val="2"/>
            </w:textInput>
          </w:ffData>
        </w:fldChar>
      </w:r>
      <w:bookmarkStart w:id="8" w:name="SM"/>
      <w:r>
        <w:rPr>
          <w:rFonts w:ascii="黑体"/>
        </w:rPr>
        <w:instrText xml:space="preserve"> FORMTEXT </w:instrText>
      </w:r>
      <w:r>
        <w:rPr>
          <w:rFonts w:ascii="黑体"/>
        </w:rPr>
        <w:fldChar w:fldCharType="separate"/>
      </w:r>
      <w:r>
        <w:rPr>
          <w:rFonts w:ascii="黑体"/>
        </w:rPr>
        <w:t>XX</w:t>
      </w:r>
      <w:r>
        <w:rPr>
          <w:rFonts w:ascii="黑体"/>
        </w:rPr>
        <w:fldChar w:fldCharType="end"/>
      </w:r>
      <w:bookmarkEnd w:id="8"/>
      <w:r>
        <w:rPr>
          <w:rFonts w:ascii="黑体"/>
        </w:rPr>
        <w:t>-</w:t>
      </w:r>
      <w:r>
        <w:rPr>
          <w:rFonts w:ascii="黑体"/>
        </w:rPr>
        <w:fldChar w:fldCharType="begin">
          <w:ffData>
            <w:name w:val="SD"/>
            <w:enabled/>
            <w:calcOnExit w:val="0"/>
            <w:textInput>
              <w:default w:val="XX"/>
              <w:maxLength w:val="2"/>
            </w:textInput>
          </w:ffData>
        </w:fldChar>
      </w:r>
      <w:bookmarkStart w:id="9" w:name="SD"/>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rPr>
          <w:rFonts w:hint="eastAsia"/>
        </w:rPr>
        <w:t>实施</w:t>
      </w:r>
    </w:p>
    <w:p w14:paraId="0FEAB7C5">
      <w:pPr>
        <w:pStyle w:val="97"/>
        <w:framePr w:wrap="around" w:x="1564" w:y="14810"/>
        <w:spacing w:line="360" w:lineRule="auto"/>
      </w:pPr>
      <w:r>
        <w:rPr>
          <w:rFonts w:hint="eastAsia" w:ascii="黑体" w:hAnsi="黑体" w:eastAsia="黑体" w:cs="黑体"/>
          <w:b w:val="0"/>
          <w:bCs/>
        </w:rPr>
        <w:t xml:space="preserve"> </w:t>
      </w:r>
      <w:r>
        <w:rPr>
          <w:rFonts w:hint="eastAsia" w:ascii="黑体" w:hAnsi="黑体" w:eastAsia="黑体" w:cs="黑体"/>
          <w:b w:val="0"/>
          <w:bCs/>
          <w:szCs w:val="28"/>
        </w:rPr>
        <w:t xml:space="preserve"> 连云港市市场监督管理局 发布</w:t>
      </w:r>
    </w:p>
    <w:p w14:paraId="55AD5917">
      <w:pPr>
        <w:pStyle w:val="33"/>
        <w:spacing w:line="360" w:lineRule="auto"/>
        <w:ind w:firstLine="0" w:firstLineChars="0"/>
        <w:sectPr>
          <w:pgSz w:w="11906" w:h="16838"/>
          <w:pgMar w:top="567" w:right="850" w:bottom="1134" w:left="1418" w:header="0" w:footer="0" w:gutter="0"/>
          <w:pgNumType w:start="1"/>
          <w:cols w:space="720" w:num="1"/>
          <w:docGrid w:type="lines" w:linePitch="312" w:charSpace="0"/>
        </w:sectPr>
      </w:pPr>
      <w:r>
        <w:pict>
          <v:line id="直线 11" o:spid="_x0000_s1028" o:spt="20" style="position:absolute;left:0pt;margin-left:-0.05pt;margin-top:184.25pt;height:0pt;width:481.9pt;z-index:251663360;mso-width-relative:page;mso-height-relative:page;"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QkHiX9cAAAAJAQAADwAAAAAAAAABACAAAAAiAAAAZHJzL2Rvd25yZXYueG1sUEsBAhQAFAAAAAgA&#10;h07iQF2Oa8ftAQAA6gMAAA4AAAAAAAAAAQAgAAAAJgEAAGRycy9lMm9Eb2MueG1sUEsFBgAAAAAG&#10;AAYAWQEAAIUFAAAAAA==&#10;">
            <v:path arrowok="t"/>
            <v:fill focussize="0,0"/>
            <v:stroke/>
            <v:imagedata o:title=""/>
            <o:lock v:ext="edit"/>
          </v:line>
        </w:pict>
      </w:r>
    </w:p>
    <w:sdt>
      <w:sdtPr>
        <w:rPr>
          <w:rFonts w:ascii="Times New Roman" w:hAnsi="Times New Roman" w:eastAsia="宋体" w:cs="Times New Roman"/>
          <w:color w:val="auto"/>
          <w:kern w:val="2"/>
          <w:sz w:val="21"/>
          <w:szCs w:val="24"/>
          <w:lang w:val="zh-CN"/>
        </w:rPr>
        <w:id w:val="-1202324277"/>
        <w:docPartObj>
          <w:docPartGallery w:val="Table of Contents"/>
          <w:docPartUnique/>
        </w:docPartObj>
      </w:sdtPr>
      <w:sdtEndPr>
        <w:rPr>
          <w:rFonts w:ascii="Times New Roman" w:hAnsi="Times New Roman" w:eastAsia="宋体" w:cs="Times New Roman"/>
          <w:color w:val="auto"/>
          <w:kern w:val="2"/>
          <w:sz w:val="21"/>
          <w:szCs w:val="24"/>
          <w:lang w:val="zh-CN"/>
        </w:rPr>
      </w:sdtEndPr>
      <w:sdtContent>
        <w:p w14:paraId="5FC3ADF9">
          <w:pPr>
            <w:pStyle w:val="156"/>
            <w:jc w:val="center"/>
            <w:rPr>
              <w:rFonts w:ascii="黑体" w:hAnsi="黑体" w:eastAsia="黑体"/>
              <w:color w:val="auto"/>
            </w:rPr>
          </w:pPr>
          <w:bookmarkStart w:id="10" w:name="_Toc7734"/>
          <w:r>
            <w:rPr>
              <w:rFonts w:ascii="黑体" w:hAnsi="黑体" w:eastAsia="黑体"/>
              <w:color w:val="auto"/>
              <w:lang w:val="zh-CN"/>
            </w:rPr>
            <w:t>目录</w:t>
          </w:r>
        </w:p>
        <w:p w14:paraId="59B2DA88">
          <w:pPr>
            <w:pStyle w:val="29"/>
            <w:spacing w:before="78" w:after="78"/>
            <w:rPr>
              <w:rFonts w:asciiTheme="minorEastAsia" w:hAnsiTheme="minorEastAsia" w:eastAsiaTheme="minorEastAsia"/>
            </w:rPr>
          </w:pPr>
          <w:r>
            <w:rPr>
              <w:rFonts w:asciiTheme="minorEastAsia" w:hAnsiTheme="minorEastAsia" w:eastAsiaTheme="minorEastAsia"/>
              <w:bCs/>
            </w:rPr>
            <w:t xml:space="preserve">1 </w:t>
          </w:r>
          <w:r>
            <w:rPr>
              <w:rFonts w:hint="eastAsia" w:asciiTheme="minorEastAsia" w:hAnsiTheme="minorEastAsia" w:eastAsiaTheme="minorEastAsia"/>
              <w:bCs/>
            </w:rPr>
            <w:t>范围</w:t>
          </w:r>
          <w:r>
            <w:rPr>
              <w:rFonts w:asciiTheme="minorEastAsia" w:hAnsiTheme="minorEastAsia" w:eastAsiaTheme="minorEastAsia"/>
            </w:rPr>
            <w:ptab w:relativeTo="margin" w:alignment="right" w:leader="dot"/>
          </w:r>
          <w:r>
            <w:rPr>
              <w:rFonts w:asciiTheme="minorEastAsia" w:hAnsiTheme="minorEastAsia" w:eastAsiaTheme="minorEastAsia"/>
              <w:bCs/>
              <w:lang w:val="zh-CN"/>
            </w:rPr>
            <w:t>1</w:t>
          </w:r>
        </w:p>
        <w:p w14:paraId="6284986A">
          <w:pPr>
            <w:pStyle w:val="29"/>
            <w:spacing w:before="78" w:after="78"/>
            <w:rPr>
              <w:rFonts w:asciiTheme="minorEastAsia" w:hAnsiTheme="minorEastAsia" w:eastAsiaTheme="minorEastAsia"/>
              <w:bCs/>
              <w:lang w:val="zh-CN"/>
            </w:rPr>
          </w:pPr>
          <w:r>
            <w:rPr>
              <w:rFonts w:asciiTheme="minorEastAsia" w:hAnsiTheme="minorEastAsia" w:eastAsiaTheme="minorEastAsia"/>
              <w:bCs/>
            </w:rPr>
            <w:t xml:space="preserve">2 </w:t>
          </w:r>
          <w:r>
            <w:rPr>
              <w:rFonts w:hint="eastAsia" w:asciiTheme="minorEastAsia" w:hAnsiTheme="minorEastAsia" w:eastAsiaTheme="minorEastAsia"/>
              <w:bCs/>
            </w:rPr>
            <w:t>规范性引用文件</w:t>
          </w:r>
          <w:r>
            <w:rPr>
              <w:rFonts w:asciiTheme="minorEastAsia" w:hAnsiTheme="minorEastAsia" w:eastAsiaTheme="minorEastAsia"/>
            </w:rPr>
            <w:ptab w:relativeTo="margin" w:alignment="right" w:leader="dot"/>
          </w:r>
          <w:r>
            <w:rPr>
              <w:rFonts w:asciiTheme="minorEastAsia" w:hAnsiTheme="minorEastAsia" w:eastAsiaTheme="minorEastAsia"/>
              <w:bCs/>
              <w:lang w:val="zh-CN"/>
            </w:rPr>
            <w:t>1</w:t>
          </w:r>
        </w:p>
        <w:p w14:paraId="4F5BDF96">
          <w:pPr>
            <w:pStyle w:val="29"/>
            <w:spacing w:before="78" w:after="78"/>
            <w:rPr>
              <w:rFonts w:asciiTheme="minorEastAsia" w:hAnsiTheme="minorEastAsia" w:eastAsiaTheme="minorEastAsia"/>
            </w:rPr>
          </w:pPr>
          <w:r>
            <w:rPr>
              <w:rFonts w:asciiTheme="minorEastAsia" w:hAnsiTheme="minorEastAsia" w:eastAsiaTheme="minorEastAsia"/>
              <w:bCs/>
            </w:rPr>
            <w:t xml:space="preserve">3 </w:t>
          </w:r>
          <w:r>
            <w:rPr>
              <w:rFonts w:hint="eastAsia" w:asciiTheme="minorEastAsia" w:hAnsiTheme="minorEastAsia" w:eastAsiaTheme="minorEastAsia"/>
              <w:bCs/>
            </w:rPr>
            <w:t>术语和定义</w:t>
          </w:r>
          <w:r>
            <w:rPr>
              <w:rFonts w:asciiTheme="minorEastAsia" w:hAnsiTheme="minorEastAsia" w:eastAsiaTheme="minorEastAsia"/>
            </w:rPr>
            <w:ptab w:relativeTo="margin" w:alignment="right" w:leader="dot"/>
          </w:r>
          <w:r>
            <w:rPr>
              <w:rFonts w:asciiTheme="minorEastAsia" w:hAnsiTheme="minorEastAsia" w:eastAsiaTheme="minorEastAsia"/>
              <w:bCs/>
              <w:lang w:val="zh-CN"/>
            </w:rPr>
            <w:t>1</w:t>
          </w:r>
        </w:p>
        <w:p w14:paraId="13EE55F6">
          <w:pPr>
            <w:pStyle w:val="29"/>
            <w:spacing w:before="78" w:after="78"/>
            <w:rPr>
              <w:rFonts w:asciiTheme="minorEastAsia" w:hAnsiTheme="minorEastAsia" w:eastAsiaTheme="minorEastAsia"/>
            </w:rPr>
          </w:pPr>
          <w:r>
            <w:rPr>
              <w:rFonts w:asciiTheme="minorEastAsia" w:hAnsiTheme="minorEastAsia" w:eastAsiaTheme="minorEastAsia"/>
              <w:bCs/>
            </w:rPr>
            <w:t xml:space="preserve">4 </w:t>
          </w:r>
          <w:r>
            <w:rPr>
              <w:rFonts w:hint="eastAsia" w:asciiTheme="minorEastAsia" w:hAnsiTheme="minorEastAsia" w:eastAsiaTheme="minorEastAsia"/>
              <w:bCs/>
            </w:rPr>
            <w:t>品种选用</w:t>
          </w:r>
          <w:r>
            <w:rPr>
              <w:rFonts w:asciiTheme="minorEastAsia" w:hAnsiTheme="minorEastAsia" w:eastAsiaTheme="minorEastAsia"/>
            </w:rPr>
            <w:ptab w:relativeTo="margin" w:alignment="right" w:leader="dot"/>
          </w:r>
          <w:r>
            <w:rPr>
              <w:rFonts w:asciiTheme="minorEastAsia" w:hAnsiTheme="minorEastAsia" w:eastAsiaTheme="minorEastAsia"/>
              <w:bCs/>
              <w:lang w:val="zh-CN"/>
            </w:rPr>
            <w:t>1</w:t>
          </w:r>
        </w:p>
        <w:p w14:paraId="0EF7CA75">
          <w:pPr>
            <w:pStyle w:val="29"/>
            <w:spacing w:before="78" w:after="78"/>
            <w:rPr>
              <w:rFonts w:asciiTheme="minorEastAsia" w:hAnsiTheme="minorEastAsia" w:eastAsiaTheme="minorEastAsia"/>
            </w:rPr>
          </w:pPr>
          <w:r>
            <w:rPr>
              <w:rFonts w:asciiTheme="minorEastAsia" w:hAnsiTheme="minorEastAsia" w:eastAsiaTheme="minorEastAsia"/>
              <w:bCs/>
            </w:rPr>
            <w:t xml:space="preserve">5 </w:t>
          </w:r>
          <w:r>
            <w:rPr>
              <w:rFonts w:hint="eastAsia" w:asciiTheme="minorEastAsia" w:hAnsiTheme="minorEastAsia" w:eastAsiaTheme="minorEastAsia"/>
              <w:bCs/>
            </w:rPr>
            <w:t>群体动态</w:t>
          </w:r>
          <w:r>
            <w:rPr>
              <w:rFonts w:asciiTheme="minorEastAsia" w:hAnsiTheme="minorEastAsia" w:eastAsiaTheme="minorEastAsia"/>
            </w:rPr>
            <w:ptab w:relativeTo="margin" w:alignment="right" w:leader="dot"/>
          </w:r>
          <w:r>
            <w:rPr>
              <w:rFonts w:asciiTheme="minorEastAsia" w:hAnsiTheme="minorEastAsia" w:eastAsiaTheme="minorEastAsia"/>
              <w:bCs/>
              <w:lang w:val="zh-CN"/>
            </w:rPr>
            <w:t>1</w:t>
          </w:r>
        </w:p>
        <w:p w14:paraId="5127589C">
          <w:pPr>
            <w:pStyle w:val="29"/>
            <w:spacing w:before="78" w:after="78"/>
            <w:rPr>
              <w:rFonts w:asciiTheme="minorEastAsia" w:hAnsiTheme="minorEastAsia" w:eastAsiaTheme="minorEastAsia"/>
            </w:rPr>
          </w:pPr>
          <w:r>
            <w:rPr>
              <w:rFonts w:asciiTheme="minorEastAsia" w:hAnsiTheme="minorEastAsia" w:eastAsiaTheme="minorEastAsia"/>
              <w:bCs/>
            </w:rPr>
            <w:t xml:space="preserve">6 </w:t>
          </w:r>
          <w:r>
            <w:rPr>
              <w:rFonts w:hint="eastAsia" w:asciiTheme="minorEastAsia" w:hAnsiTheme="minorEastAsia" w:eastAsiaTheme="minorEastAsia"/>
              <w:bCs/>
            </w:rPr>
            <w:t>产量品质指标</w:t>
          </w:r>
          <w:r>
            <w:rPr>
              <w:rFonts w:asciiTheme="minorEastAsia" w:hAnsiTheme="minorEastAsia" w:eastAsiaTheme="minorEastAsia"/>
            </w:rPr>
            <w:ptab w:relativeTo="margin" w:alignment="right" w:leader="dot"/>
          </w:r>
          <w:r>
            <w:rPr>
              <w:rFonts w:asciiTheme="minorEastAsia" w:hAnsiTheme="minorEastAsia" w:eastAsiaTheme="minorEastAsia"/>
              <w:bCs/>
              <w:lang w:val="zh-CN"/>
            </w:rPr>
            <w:t>1</w:t>
          </w:r>
        </w:p>
        <w:p w14:paraId="202A92A5">
          <w:pPr>
            <w:pStyle w:val="29"/>
            <w:spacing w:before="78" w:after="78"/>
            <w:rPr>
              <w:rFonts w:asciiTheme="minorEastAsia" w:hAnsiTheme="minorEastAsia" w:eastAsiaTheme="minorEastAsia"/>
            </w:rPr>
          </w:pPr>
          <w:r>
            <w:rPr>
              <w:rFonts w:asciiTheme="minorEastAsia" w:hAnsiTheme="minorEastAsia" w:eastAsiaTheme="minorEastAsia"/>
              <w:bCs/>
            </w:rPr>
            <w:t xml:space="preserve">7 </w:t>
          </w:r>
          <w:r>
            <w:rPr>
              <w:rFonts w:hint="eastAsia" w:asciiTheme="minorEastAsia" w:hAnsiTheme="minorEastAsia" w:eastAsiaTheme="minorEastAsia"/>
              <w:bCs/>
            </w:rPr>
            <w:t>优质高产栽培技术</w:t>
          </w:r>
          <w:r>
            <w:rPr>
              <w:rFonts w:asciiTheme="minorEastAsia" w:hAnsiTheme="minorEastAsia" w:eastAsiaTheme="minorEastAsia"/>
            </w:rPr>
            <w:ptab w:relativeTo="margin" w:alignment="right" w:leader="dot"/>
          </w:r>
          <w:r>
            <w:rPr>
              <w:rFonts w:asciiTheme="minorEastAsia" w:hAnsiTheme="minorEastAsia" w:eastAsiaTheme="minorEastAsia"/>
              <w:bCs/>
              <w:lang w:val="zh-CN"/>
            </w:rPr>
            <w:t>2</w:t>
          </w:r>
        </w:p>
        <w:p w14:paraId="19DF98FA">
          <w:pPr>
            <w:pStyle w:val="29"/>
            <w:spacing w:before="78" w:after="78"/>
            <w:rPr>
              <w:rFonts w:asciiTheme="minorEastAsia" w:hAnsiTheme="minorEastAsia" w:eastAsiaTheme="minorEastAsia"/>
            </w:rPr>
          </w:pPr>
          <w:r>
            <w:rPr>
              <w:rFonts w:asciiTheme="minorEastAsia" w:hAnsiTheme="minorEastAsia" w:eastAsiaTheme="minorEastAsia"/>
              <w:bCs/>
            </w:rPr>
            <w:t xml:space="preserve">8 </w:t>
          </w:r>
          <w:r>
            <w:rPr>
              <w:rFonts w:hint="eastAsia" w:asciiTheme="minorEastAsia" w:hAnsiTheme="minorEastAsia" w:eastAsiaTheme="minorEastAsia"/>
              <w:bCs/>
            </w:rPr>
            <w:t>收获</w:t>
          </w:r>
          <w:r>
            <w:rPr>
              <w:rFonts w:asciiTheme="minorEastAsia" w:hAnsiTheme="minorEastAsia" w:eastAsiaTheme="minorEastAsia"/>
            </w:rPr>
            <w:ptab w:relativeTo="margin" w:alignment="right" w:leader="dot"/>
          </w:r>
          <w:r>
            <w:rPr>
              <w:rFonts w:asciiTheme="minorEastAsia" w:hAnsiTheme="minorEastAsia" w:eastAsiaTheme="minorEastAsia"/>
              <w:bCs/>
              <w:lang w:val="zh-CN"/>
            </w:rPr>
            <w:t>4</w:t>
          </w:r>
        </w:p>
        <w:p w14:paraId="7ED14EE4">
          <w:pPr>
            <w:pStyle w:val="29"/>
            <w:spacing w:before="78" w:after="78"/>
            <w:rPr>
              <w:rFonts w:asciiTheme="minorEastAsia" w:hAnsiTheme="minorEastAsia" w:eastAsiaTheme="minorEastAsia"/>
            </w:rPr>
          </w:pPr>
          <w:r>
            <w:rPr>
              <w:rFonts w:asciiTheme="minorEastAsia" w:hAnsiTheme="minorEastAsia" w:eastAsiaTheme="minorEastAsia"/>
              <w:bCs/>
            </w:rPr>
            <w:t xml:space="preserve">9 </w:t>
          </w:r>
          <w:r>
            <w:rPr>
              <w:rFonts w:hint="eastAsia" w:asciiTheme="minorEastAsia" w:hAnsiTheme="minorEastAsia" w:eastAsiaTheme="minorEastAsia"/>
              <w:bCs/>
            </w:rPr>
            <w:t>记录档案</w:t>
          </w:r>
          <w:r>
            <w:rPr>
              <w:rFonts w:asciiTheme="minorEastAsia" w:hAnsiTheme="minorEastAsia" w:eastAsiaTheme="minorEastAsia"/>
            </w:rPr>
            <w:ptab w:relativeTo="margin" w:alignment="right" w:leader="dot"/>
          </w:r>
          <w:r>
            <w:rPr>
              <w:rFonts w:asciiTheme="minorEastAsia" w:hAnsiTheme="minorEastAsia" w:eastAsiaTheme="minorEastAsia"/>
              <w:bCs/>
              <w:lang w:val="zh-CN"/>
            </w:rPr>
            <w:t>4</w:t>
          </w:r>
        </w:p>
        <w:p w14:paraId="303E22D9">
          <w:pPr>
            <w:rPr>
              <w:lang w:val="zh-CN"/>
            </w:rPr>
          </w:pPr>
        </w:p>
      </w:sdtContent>
    </w:sdt>
    <w:p w14:paraId="2D4E2097">
      <w:pPr>
        <w:pStyle w:val="33"/>
      </w:pPr>
    </w:p>
    <w:p w14:paraId="7A267669">
      <w:pPr>
        <w:pStyle w:val="105"/>
        <w:spacing w:line="360" w:lineRule="auto"/>
      </w:pPr>
      <w:r>
        <w:rPr>
          <w:rFonts w:hint="eastAsia"/>
        </w:rPr>
        <w:t>前</w:t>
      </w:r>
      <w:bookmarkStart w:id="11" w:name="BKQY"/>
      <w:r>
        <w:rPr>
          <w:rFonts w:hAnsi="黑体"/>
        </w:rPr>
        <w:t>  </w:t>
      </w:r>
      <w:r>
        <w:rPr>
          <w:rFonts w:hint="eastAsia"/>
        </w:rPr>
        <w:t>言</w:t>
      </w:r>
      <w:bookmarkEnd w:id="10"/>
      <w:bookmarkEnd w:id="11"/>
    </w:p>
    <w:p w14:paraId="5821A08B">
      <w:pPr>
        <w:pStyle w:val="33"/>
        <w:spacing w:line="360" w:lineRule="auto"/>
      </w:pPr>
      <w:r>
        <w:rPr>
          <w:rFonts w:hint="eastAsia"/>
        </w:rPr>
        <w:t>本文件按GB/T 1.1-2020《标准化工作导则 第1部分：标准化文件的结构和起草规则》规定编写。</w:t>
      </w:r>
    </w:p>
    <w:p w14:paraId="49B6EF51">
      <w:pPr>
        <w:pStyle w:val="33"/>
        <w:spacing w:line="360" w:lineRule="auto"/>
      </w:pPr>
      <w:r>
        <w:rPr>
          <w:rFonts w:hint="eastAsia"/>
        </w:rPr>
        <w:t>本文件由连云港市农业科学院提出并组织实施与监督。</w:t>
      </w:r>
    </w:p>
    <w:p w14:paraId="50E28E69">
      <w:pPr>
        <w:pStyle w:val="33"/>
        <w:spacing w:line="360" w:lineRule="auto"/>
      </w:pPr>
      <w:r>
        <w:rPr>
          <w:rFonts w:hint="eastAsia"/>
        </w:rPr>
        <w:t>本文件由连云港市农业科学院归口。</w:t>
      </w:r>
    </w:p>
    <w:p w14:paraId="2AE56C0D">
      <w:pPr>
        <w:pStyle w:val="33"/>
        <w:spacing w:line="360" w:lineRule="auto"/>
      </w:pPr>
      <w:r>
        <w:rPr>
          <w:rFonts w:hint="eastAsia"/>
        </w:rPr>
        <w:t>本文件起草单位：连云港市农业科学院。</w:t>
      </w:r>
    </w:p>
    <w:p w14:paraId="4B91A305">
      <w:pPr>
        <w:pStyle w:val="33"/>
        <w:spacing w:line="360" w:lineRule="auto"/>
      </w:pPr>
      <w:r>
        <w:rPr>
          <w:rFonts w:hint="eastAsia"/>
        </w:rPr>
        <w:t>本文件主要起草人：</w:t>
      </w:r>
      <w:r>
        <w:rPr>
          <w:rFonts w:hint="eastAsia" w:ascii="Times New Roman"/>
        </w:rPr>
        <w:t>邢运高、李健、刘艳、陈庭木、徐波、孙志广、迟铭、李景芳、王德荣、周群、卢百关、刘金波、王宝祥、徐大勇</w:t>
      </w:r>
      <w:r>
        <w:rPr>
          <w:rFonts w:hint="eastAsia"/>
        </w:rPr>
        <w:t>。</w:t>
      </w:r>
    </w:p>
    <w:p w14:paraId="4FEEC774">
      <w:pPr>
        <w:pStyle w:val="33"/>
        <w:spacing w:line="360" w:lineRule="auto"/>
        <w:ind w:firstLine="640"/>
        <w:rPr>
          <w:color w:val="0000FF"/>
          <w:sz w:val="32"/>
          <w:szCs w:val="32"/>
        </w:rPr>
        <w:sectPr>
          <w:headerReference r:id="rId3" w:type="default"/>
          <w:footerReference r:id="rId4" w:type="default"/>
          <w:pgSz w:w="11906" w:h="16838"/>
          <w:pgMar w:top="567" w:right="1134" w:bottom="1134" w:left="1418" w:header="1418" w:footer="1134" w:gutter="0"/>
          <w:pgNumType w:fmt="upperRoman" w:start="1"/>
          <w:cols w:space="720" w:num="1"/>
          <w:formProt w:val="0"/>
          <w:docGrid w:type="lines" w:linePitch="312" w:charSpace="0"/>
        </w:sectPr>
      </w:pPr>
    </w:p>
    <w:p w14:paraId="24998A62">
      <w:pPr>
        <w:pStyle w:val="144"/>
      </w:pPr>
      <w:r>
        <w:rPr>
          <w:rFonts w:hint="eastAsia"/>
        </w:rPr>
        <w:t>籼粳杂交稻优质高产栽培技术规程</w:t>
      </w:r>
    </w:p>
    <w:p w14:paraId="558D1340">
      <w:pPr>
        <w:pStyle w:val="73"/>
        <w:spacing w:before="312" w:after="312"/>
        <w:outlineLvl w:val="0"/>
      </w:pPr>
      <w:bookmarkStart w:id="12" w:name="_Toc32692"/>
      <w:r>
        <w:rPr>
          <w:rFonts w:hint="eastAsia"/>
        </w:rPr>
        <w:t>范围</w:t>
      </w:r>
      <w:bookmarkEnd w:id="12"/>
    </w:p>
    <w:p w14:paraId="505BA8FF">
      <w:pPr>
        <w:pStyle w:val="33"/>
      </w:pPr>
      <w:r>
        <w:rPr>
          <w:rFonts w:hint="eastAsia"/>
        </w:rPr>
        <w:t>本文件规定了籼粳杂交稻品种选用，群体动态指标，产量品质指标，优质高产栽培技术，收获和记录档案的要求。</w:t>
      </w:r>
    </w:p>
    <w:p w14:paraId="2C330FC4">
      <w:pPr>
        <w:pStyle w:val="33"/>
      </w:pPr>
      <w:r>
        <w:rPr>
          <w:rFonts w:hint="eastAsia"/>
        </w:rPr>
        <w:t>本文件适用于连云港市籼粳杂交稻的生产。</w:t>
      </w:r>
    </w:p>
    <w:p w14:paraId="488E390A">
      <w:pPr>
        <w:pStyle w:val="73"/>
        <w:spacing w:before="312" w:after="312"/>
        <w:outlineLvl w:val="0"/>
      </w:pPr>
      <w:bookmarkStart w:id="13" w:name="_Toc2983"/>
      <w:r>
        <w:rPr>
          <w:rFonts w:hint="eastAsia"/>
        </w:rPr>
        <w:t>规范性引用文件</w:t>
      </w:r>
      <w:bookmarkEnd w:id="13"/>
    </w:p>
    <w:p w14:paraId="3579735D">
      <w:pPr>
        <w:pStyle w:val="33"/>
      </w:pPr>
      <w:r>
        <w:rPr>
          <w:rFonts w:hint="eastAsia" w:ascii="Times New Roman" w:cs="宋体"/>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083A266">
      <w:pPr>
        <w:pStyle w:val="33"/>
      </w:pPr>
      <w:r>
        <w:rPr>
          <w:rFonts w:hint="eastAsia"/>
        </w:rPr>
        <w:t>GB 4404.1 粮食作物种子 第一部分：禾谷类</w:t>
      </w:r>
    </w:p>
    <w:p w14:paraId="0C217968">
      <w:pPr>
        <w:pStyle w:val="33"/>
      </w:pPr>
      <w:r>
        <w:rPr>
          <w:rFonts w:hint="eastAsia"/>
        </w:rPr>
        <w:t>GB/T 17891  优质稻谷</w:t>
      </w:r>
    </w:p>
    <w:p w14:paraId="063EC60A">
      <w:pPr>
        <w:pStyle w:val="33"/>
      </w:pPr>
      <w:r>
        <w:rPr>
          <w:rFonts w:hint="eastAsia"/>
        </w:rPr>
        <w:t>GB/T 8321.10 农药合理使用准则</w:t>
      </w:r>
    </w:p>
    <w:p w14:paraId="32010771">
      <w:pPr>
        <w:pStyle w:val="33"/>
      </w:pPr>
      <w:r>
        <w:rPr>
          <w:rFonts w:hint="eastAsia"/>
        </w:rPr>
        <w:t>NY/T 5010 无公害农产品 种植业产地环境条件</w:t>
      </w:r>
    </w:p>
    <w:p w14:paraId="364BADBA">
      <w:pPr>
        <w:pStyle w:val="33"/>
      </w:pPr>
      <w:r>
        <w:rPr>
          <w:rFonts w:hint="eastAsia"/>
        </w:rPr>
        <w:t>FZ/T 64004 薄型粘合法非织造布</w:t>
      </w:r>
    </w:p>
    <w:p w14:paraId="2216C8CF">
      <w:pPr>
        <w:pStyle w:val="73"/>
        <w:spacing w:before="312" w:after="312"/>
        <w:outlineLvl w:val="0"/>
      </w:pPr>
      <w:bookmarkStart w:id="14" w:name="_Toc6101"/>
      <w:r>
        <w:rPr>
          <w:rFonts w:hint="eastAsia"/>
        </w:rPr>
        <w:t>术语和定义</w:t>
      </w:r>
      <w:bookmarkEnd w:id="14"/>
    </w:p>
    <w:p w14:paraId="4B86E0FD">
      <w:pPr>
        <w:pStyle w:val="152"/>
        <w:ind w:firstLine="420"/>
      </w:pPr>
      <w:bookmarkStart w:id="15" w:name="_Toc26986532"/>
      <w:bookmarkEnd w:id="15"/>
      <w:r>
        <w:t>下列术语和定义适用于本文件。</w:t>
      </w:r>
    </w:p>
    <w:p w14:paraId="54908A2B">
      <w:pPr>
        <w:pStyle w:val="152"/>
        <w:ind w:left="0" w:leftChars="0" w:firstLine="0" w:firstLineChars="0"/>
        <w:rPr>
          <w:rFonts w:hint="eastAsia" w:ascii="黑体" w:hAnsi="黑体" w:eastAsia="黑体" w:cs="黑体"/>
          <w:lang w:val="en-US" w:eastAsia="zh-CN"/>
        </w:rPr>
      </w:pPr>
      <w:r>
        <w:rPr>
          <w:rFonts w:hint="eastAsia" w:ascii="黑体" w:hAnsi="黑体" w:eastAsia="黑体" w:cs="黑体"/>
          <w:lang w:val="en-US" w:eastAsia="zh-CN"/>
        </w:rPr>
        <w:t xml:space="preserve">3.1 </w:t>
      </w:r>
    </w:p>
    <w:p w14:paraId="2D2816AD">
      <w:pPr>
        <w:pStyle w:val="152"/>
        <w:ind w:firstLine="409" w:firstLineChars="195"/>
        <w:rPr>
          <w:rFonts w:ascii="黑体" w:hAnsi="黑体" w:eastAsia="黑体" w:cs="黑体"/>
        </w:rPr>
      </w:pPr>
      <w:r>
        <w:rPr>
          <w:rFonts w:hint="eastAsia" w:ascii="黑体" w:hAnsi="黑体" w:eastAsia="黑体" w:cs="黑体"/>
        </w:rPr>
        <w:t>籼粳杂交稻 Hybrid rice of indica and japonica</w:t>
      </w:r>
    </w:p>
    <w:p w14:paraId="16A003A3">
      <w:pPr>
        <w:pStyle w:val="152"/>
        <w:ind w:firstLine="420"/>
      </w:pPr>
      <w:r>
        <w:rPr>
          <w:rFonts w:hint="eastAsia"/>
        </w:rPr>
        <w:t>利用籼稻不育系与粳稻恢复系或粳稻不育系与籼稻恢复系组配的杂交组合称为籼粳杂交稻。</w:t>
      </w:r>
    </w:p>
    <w:p w14:paraId="15F562CE">
      <w:pPr>
        <w:pStyle w:val="73"/>
        <w:spacing w:before="312" w:after="312"/>
      </w:pPr>
      <w:r>
        <w:rPr>
          <w:rFonts w:hint="eastAsia"/>
        </w:rPr>
        <w:t>品种选用</w:t>
      </w:r>
    </w:p>
    <w:p w14:paraId="230E60CD">
      <w:pPr>
        <w:pStyle w:val="152"/>
        <w:ind w:firstLine="420"/>
      </w:pPr>
      <w:r>
        <w:rPr>
          <w:rFonts w:hint="eastAsia"/>
        </w:rPr>
        <w:t>选用通过国家或江苏省品种省定委员会审定的优质或食味品质好、稳产、综合抗性好杂交水稻新品种，例如9优30、9优182、甬优6711、甬优6818等。</w:t>
      </w:r>
    </w:p>
    <w:p w14:paraId="2AB98CF8">
      <w:pPr>
        <w:pStyle w:val="73"/>
        <w:spacing w:before="312" w:after="312"/>
        <w:outlineLvl w:val="0"/>
      </w:pPr>
      <w:r>
        <w:rPr>
          <w:rFonts w:hint="eastAsia"/>
        </w:rPr>
        <w:t>群体动态</w:t>
      </w:r>
    </w:p>
    <w:p w14:paraId="1896D3AF">
      <w:pPr>
        <w:pStyle w:val="152"/>
        <w:ind w:firstLine="420"/>
      </w:pPr>
      <w:r>
        <w:rPr>
          <w:rFonts w:hint="eastAsia"/>
        </w:rPr>
        <w:t>移栽后20</w:t>
      </w:r>
      <w:bookmarkStart w:id="20" w:name="_GoBack"/>
      <w:bookmarkEnd w:id="20"/>
      <w:r>
        <w:rPr>
          <w:rFonts w:hint="eastAsia"/>
        </w:rPr>
        <w:t>d</w:t>
      </w:r>
      <w:r>
        <w:rPr>
          <w:rFonts w:ascii="Times New Roman"/>
        </w:rPr>
        <w:t>～</w:t>
      </w:r>
      <w:r>
        <w:rPr>
          <w:rFonts w:hint="eastAsia"/>
        </w:rPr>
        <w:t>25d够苗，高峰苗控制在每亩20万苗</w:t>
      </w:r>
      <w:r>
        <w:rPr>
          <w:rFonts w:ascii="Times New Roman"/>
        </w:rPr>
        <w:t>～</w:t>
      </w:r>
      <w:r>
        <w:rPr>
          <w:rFonts w:hint="eastAsia"/>
        </w:rPr>
        <w:t>23万苗。</w:t>
      </w:r>
    </w:p>
    <w:p w14:paraId="553B1512">
      <w:pPr>
        <w:pStyle w:val="73"/>
        <w:spacing w:before="312" w:after="312"/>
      </w:pPr>
      <w:r>
        <w:rPr>
          <w:rFonts w:hint="eastAsia"/>
        </w:rPr>
        <w:t>产量品质指标</w:t>
      </w:r>
    </w:p>
    <w:p w14:paraId="27B06899">
      <w:pPr>
        <w:pStyle w:val="33"/>
      </w:pPr>
      <w:r>
        <w:rPr>
          <w:rFonts w:hint="eastAsia"/>
        </w:rPr>
        <w:t>每667m</w:t>
      </w:r>
      <w:r>
        <w:rPr>
          <w:rFonts w:hint="eastAsia"/>
          <w:vertAlign w:val="superscript"/>
        </w:rPr>
        <w:t>2</w:t>
      </w:r>
      <w:r>
        <w:rPr>
          <w:rFonts w:hint="eastAsia"/>
        </w:rPr>
        <w:t>有效穗15万</w:t>
      </w:r>
      <w:r>
        <w:rPr>
          <w:rFonts w:ascii="Times New Roman"/>
        </w:rPr>
        <w:t>～</w:t>
      </w:r>
      <w:r>
        <w:rPr>
          <w:rFonts w:hint="eastAsia"/>
        </w:rPr>
        <w:t>18万，每穗粒数230粒</w:t>
      </w:r>
      <w:r>
        <w:rPr>
          <w:rFonts w:ascii="Times New Roman"/>
        </w:rPr>
        <w:t>～</w:t>
      </w:r>
      <w:r>
        <w:rPr>
          <w:rFonts w:hint="eastAsia"/>
        </w:rPr>
        <w:t>250粒，结实率85%以上，千粒重25g以上，目标单产780 kg/667m</w:t>
      </w:r>
      <w:r>
        <w:rPr>
          <w:rFonts w:hint="eastAsia"/>
          <w:vertAlign w:val="superscript"/>
        </w:rPr>
        <w:t>2</w:t>
      </w:r>
      <w:r>
        <w:rPr>
          <w:rFonts w:hint="eastAsia"/>
        </w:rPr>
        <w:t>以上，稻谷质量达GB/T 17891规定的三级米以上水平。</w:t>
      </w:r>
    </w:p>
    <w:p w14:paraId="40C88A66">
      <w:pPr>
        <w:widowControl/>
        <w:spacing w:before="312" w:beforeLines="100" w:after="312" w:afterLines="100"/>
        <w:outlineLvl w:val="1"/>
        <w:rPr>
          <w:rFonts w:eastAsia="黑体"/>
          <w:spacing w:val="2"/>
          <w:szCs w:val="21"/>
        </w:rPr>
      </w:pPr>
      <w:r>
        <w:rPr>
          <w:rFonts w:eastAsia="黑体"/>
          <w:spacing w:val="2"/>
          <w:szCs w:val="21"/>
        </w:rPr>
        <w:t xml:space="preserve">7  </w:t>
      </w:r>
      <w:r>
        <w:rPr>
          <w:rFonts w:hint="eastAsia" w:eastAsia="黑体"/>
          <w:spacing w:val="2"/>
          <w:szCs w:val="21"/>
        </w:rPr>
        <w:t>优质高产</w:t>
      </w:r>
      <w:r>
        <w:rPr>
          <w:rFonts w:eastAsia="黑体"/>
          <w:spacing w:val="2"/>
          <w:szCs w:val="21"/>
        </w:rPr>
        <w:t>栽培技术</w:t>
      </w:r>
    </w:p>
    <w:p w14:paraId="3E31DC51">
      <w:pPr>
        <w:widowControl/>
        <w:spacing w:before="312" w:beforeLines="100" w:after="312" w:afterLines="100"/>
        <w:outlineLvl w:val="1"/>
        <w:rPr>
          <w:rFonts w:eastAsia="黑体"/>
          <w:spacing w:val="2"/>
          <w:szCs w:val="21"/>
        </w:rPr>
      </w:pPr>
      <w:r>
        <w:rPr>
          <w:rFonts w:eastAsia="黑体"/>
          <w:spacing w:val="2"/>
          <w:szCs w:val="21"/>
        </w:rPr>
        <w:t>7.1  秧田</w:t>
      </w:r>
    </w:p>
    <w:p w14:paraId="3DE5A5C0">
      <w:pPr>
        <w:widowControl/>
        <w:spacing w:before="312" w:beforeLines="100" w:after="312" w:afterLines="100"/>
        <w:outlineLvl w:val="1"/>
        <w:rPr>
          <w:rFonts w:eastAsia="黑体"/>
          <w:spacing w:val="2"/>
          <w:szCs w:val="21"/>
        </w:rPr>
      </w:pPr>
      <w:r>
        <w:rPr>
          <w:rFonts w:eastAsia="黑体"/>
          <w:spacing w:val="2"/>
          <w:szCs w:val="21"/>
        </w:rPr>
        <w:t>7.1.1  苗床准备</w:t>
      </w:r>
    </w:p>
    <w:p w14:paraId="4F8C5787">
      <w:pPr>
        <w:pStyle w:val="41"/>
        <w:ind w:firstLine="420" w:firstLineChars="200"/>
        <w:jc w:val="both"/>
        <w:rPr>
          <w:rFonts w:ascii="Times New Roman" w:hAnsi="Times New Roman" w:eastAsia="宋体"/>
          <w:b w:val="0"/>
          <w:kern w:val="0"/>
          <w:sz w:val="21"/>
          <w:szCs w:val="20"/>
        </w:rPr>
      </w:pPr>
      <w:r>
        <w:rPr>
          <w:rFonts w:hint="eastAsia" w:ascii="Times New Roman" w:hAnsi="Times New Roman" w:eastAsia="宋体"/>
          <w:b w:val="0"/>
          <w:kern w:val="0"/>
          <w:sz w:val="21"/>
          <w:szCs w:val="20"/>
        </w:rPr>
        <w:t>选择背风向阳、排灌方便、土壤肥沃的田块作秧田。</w:t>
      </w:r>
      <w:r>
        <w:rPr>
          <w:rFonts w:ascii="Times New Roman" w:hAnsi="Times New Roman" w:eastAsia="宋体"/>
          <w:b w:val="0"/>
          <w:kern w:val="0"/>
          <w:sz w:val="21"/>
          <w:szCs w:val="20"/>
        </w:rPr>
        <w:t>采用塑盘育秧，</w:t>
      </w:r>
      <w:r>
        <w:rPr>
          <w:rFonts w:hint="eastAsia" w:ascii="Times New Roman" w:hAnsi="Times New Roman" w:eastAsia="宋体"/>
          <w:b w:val="0"/>
          <w:kern w:val="0"/>
          <w:sz w:val="21"/>
          <w:szCs w:val="20"/>
        </w:rPr>
        <w:t>塑盘规格为60cm×25cm×3cm。</w:t>
      </w:r>
      <w:r>
        <w:rPr>
          <w:rFonts w:ascii="Times New Roman" w:hAnsi="Times New Roman" w:eastAsia="宋体"/>
          <w:b w:val="0"/>
          <w:kern w:val="0"/>
          <w:sz w:val="21"/>
          <w:szCs w:val="20"/>
        </w:rPr>
        <w:t>秧板畦面净宽1.5 m，沟宽25 cm，沟深15cm。铺撒好准备好的基质，基质厚度2 cm～2.5 cm，做到表面平整。</w:t>
      </w:r>
    </w:p>
    <w:p w14:paraId="112E4335">
      <w:pPr>
        <w:spacing w:before="65" w:line="222" w:lineRule="auto"/>
        <w:outlineLvl w:val="6"/>
        <w:rPr>
          <w:rFonts w:eastAsia="黑体"/>
          <w:spacing w:val="6"/>
          <w:szCs w:val="21"/>
        </w:rPr>
      </w:pPr>
      <w:r>
        <w:rPr>
          <w:rFonts w:eastAsia="黑体"/>
          <w:spacing w:val="6"/>
          <w:szCs w:val="21"/>
        </w:rPr>
        <w:t>7.1.2  种子处理</w:t>
      </w:r>
    </w:p>
    <w:p w14:paraId="6F747303">
      <w:pPr>
        <w:widowControl/>
        <w:tabs>
          <w:tab w:val="center" w:pos="4201"/>
          <w:tab w:val="right" w:leader="dot" w:pos="9298"/>
        </w:tabs>
        <w:autoSpaceDE w:val="0"/>
        <w:autoSpaceDN w:val="0"/>
        <w:ind w:firstLine="420" w:firstLineChars="200"/>
        <w:rPr>
          <w:kern w:val="0"/>
          <w:szCs w:val="20"/>
        </w:rPr>
      </w:pPr>
      <w:r>
        <w:rPr>
          <w:kern w:val="0"/>
          <w:szCs w:val="20"/>
        </w:rPr>
        <w:t>种子质量应符合GB 4404.1要求。播前选择晴天，晒种1 d～2 d。采用药剂浸种防治恶苗病、干尖线虫等病虫害，方法见附录A，浸种时间48h。</w:t>
      </w:r>
    </w:p>
    <w:p w14:paraId="00C35E07">
      <w:pPr>
        <w:spacing w:before="247" w:line="219" w:lineRule="auto"/>
        <w:outlineLvl w:val="6"/>
        <w:rPr>
          <w:rFonts w:eastAsia="黑体"/>
          <w:spacing w:val="2"/>
          <w:szCs w:val="21"/>
        </w:rPr>
      </w:pPr>
      <w:r>
        <w:rPr>
          <w:rFonts w:eastAsia="黑体"/>
          <w:spacing w:val="2"/>
          <w:szCs w:val="21"/>
        </w:rPr>
        <w:t>7.1.3</w:t>
      </w:r>
      <w:r>
        <w:rPr>
          <w:rFonts w:eastAsia="黑体"/>
          <w:spacing w:val="11"/>
          <w:szCs w:val="21"/>
        </w:rPr>
        <w:t xml:space="preserve">  </w:t>
      </w:r>
      <w:r>
        <w:rPr>
          <w:rFonts w:eastAsia="黑体"/>
          <w:spacing w:val="2"/>
          <w:szCs w:val="21"/>
        </w:rPr>
        <w:t>播种</w:t>
      </w:r>
    </w:p>
    <w:p w14:paraId="6A98CD87">
      <w:pPr>
        <w:ind w:firstLine="420" w:firstLineChars="200"/>
        <w:rPr>
          <w:kern w:val="0"/>
          <w:szCs w:val="21"/>
        </w:rPr>
      </w:pPr>
      <w:r>
        <w:rPr>
          <w:kern w:val="0"/>
          <w:szCs w:val="20"/>
        </w:rPr>
        <w:t>播期5月15日～6月5日；播量每盘播种60 g～70 g，每667 m</w:t>
      </w:r>
      <w:r>
        <w:rPr>
          <w:kern w:val="0"/>
          <w:szCs w:val="20"/>
          <w:vertAlign w:val="superscript"/>
        </w:rPr>
        <w:t>2</w:t>
      </w:r>
      <w:r>
        <w:rPr>
          <w:kern w:val="0"/>
          <w:szCs w:val="20"/>
        </w:rPr>
        <w:t>大田播25</w:t>
      </w:r>
      <w:r>
        <w:rPr>
          <w:rFonts w:hint="eastAsia"/>
          <w:kern w:val="0"/>
          <w:szCs w:val="20"/>
        </w:rPr>
        <w:t>盘</w:t>
      </w:r>
      <w:r>
        <w:rPr>
          <w:kern w:val="0"/>
          <w:szCs w:val="20"/>
        </w:rPr>
        <w:t>～30</w:t>
      </w:r>
      <w:r>
        <w:rPr>
          <w:rFonts w:hint="eastAsia"/>
          <w:kern w:val="0"/>
          <w:szCs w:val="20"/>
        </w:rPr>
        <w:t>盘</w:t>
      </w:r>
      <w:r>
        <w:rPr>
          <w:kern w:val="0"/>
          <w:szCs w:val="20"/>
        </w:rPr>
        <w:t>。</w:t>
      </w:r>
    </w:p>
    <w:p w14:paraId="050CA8DE">
      <w:pPr>
        <w:spacing w:before="228" w:line="222" w:lineRule="auto"/>
        <w:outlineLvl w:val="6"/>
        <w:rPr>
          <w:rFonts w:eastAsia="黑体"/>
          <w:spacing w:val="11"/>
          <w:szCs w:val="21"/>
        </w:rPr>
      </w:pPr>
      <w:r>
        <w:rPr>
          <w:rFonts w:eastAsia="黑体"/>
          <w:spacing w:val="11"/>
          <w:szCs w:val="21"/>
        </w:rPr>
        <w:t>7.1.4</w:t>
      </w:r>
      <w:r>
        <w:rPr>
          <w:rFonts w:eastAsia="黑体"/>
          <w:spacing w:val="19"/>
          <w:szCs w:val="21"/>
        </w:rPr>
        <w:t xml:space="preserve"> </w:t>
      </w:r>
      <w:r>
        <w:rPr>
          <w:rFonts w:eastAsia="黑体"/>
          <w:spacing w:val="11"/>
          <w:szCs w:val="21"/>
        </w:rPr>
        <w:t>盖土、封膜</w:t>
      </w:r>
    </w:p>
    <w:p w14:paraId="0358AB8C">
      <w:pPr>
        <w:pStyle w:val="41"/>
        <w:ind w:firstLine="436" w:firstLineChars="200"/>
        <w:jc w:val="both"/>
        <w:rPr>
          <w:rFonts w:ascii="Times New Roman" w:hAnsi="Times New Roman" w:eastAsia="宋体"/>
          <w:b w:val="0"/>
          <w:spacing w:val="4"/>
          <w:sz w:val="21"/>
          <w:szCs w:val="24"/>
        </w:rPr>
      </w:pPr>
      <w:r>
        <w:rPr>
          <w:rFonts w:ascii="Times New Roman" w:hAnsi="Times New Roman" w:eastAsia="宋体"/>
          <w:b w:val="0"/>
          <w:spacing w:val="4"/>
          <w:sz w:val="21"/>
          <w:szCs w:val="24"/>
        </w:rPr>
        <w:t>盖土以盖住稻谷为宜。盖好</w:t>
      </w:r>
      <w:r>
        <w:rPr>
          <w:rFonts w:hint="eastAsia" w:ascii="Times New Roman" w:hAnsi="Times New Roman" w:eastAsia="宋体"/>
          <w:b w:val="0"/>
          <w:spacing w:val="4"/>
          <w:sz w:val="21"/>
          <w:szCs w:val="24"/>
        </w:rPr>
        <w:t>无纺布</w:t>
      </w:r>
      <w:r>
        <w:rPr>
          <w:rFonts w:ascii="Times New Roman" w:hAnsi="Times New Roman" w:eastAsia="宋体"/>
          <w:b w:val="0"/>
          <w:spacing w:val="4"/>
          <w:sz w:val="21"/>
          <w:szCs w:val="24"/>
        </w:rPr>
        <w:t>，</w:t>
      </w:r>
      <w:r>
        <w:rPr>
          <w:rFonts w:hint="eastAsia" w:ascii="Times New Roman" w:hAnsi="Times New Roman" w:eastAsia="宋体"/>
          <w:b w:val="0"/>
          <w:spacing w:val="4"/>
          <w:sz w:val="21"/>
          <w:szCs w:val="24"/>
        </w:rPr>
        <w:t>无纺布应符合</w:t>
      </w:r>
      <w:r>
        <w:rPr>
          <w:rFonts w:ascii="Times New Roman" w:hAnsi="Times New Roman" w:eastAsia="宋体"/>
          <w:b w:val="0"/>
          <w:spacing w:val="4"/>
          <w:sz w:val="21"/>
          <w:szCs w:val="24"/>
        </w:rPr>
        <w:t>FZ/T 64004</w:t>
      </w:r>
      <w:r>
        <w:rPr>
          <w:rFonts w:hint="eastAsia" w:ascii="Times New Roman" w:hAnsi="Times New Roman" w:eastAsia="宋体"/>
          <w:b w:val="0"/>
          <w:spacing w:val="4"/>
          <w:sz w:val="21"/>
          <w:szCs w:val="24"/>
        </w:rPr>
        <w:t>标准。及时盖上黑色塑料膜，膜上铺层稻草，以防温度过高烧苗。</w:t>
      </w:r>
    </w:p>
    <w:p w14:paraId="2C16F982">
      <w:pPr>
        <w:spacing w:before="228" w:line="222" w:lineRule="auto"/>
        <w:outlineLvl w:val="6"/>
        <w:rPr>
          <w:rFonts w:eastAsia="黑体"/>
          <w:spacing w:val="11"/>
          <w:szCs w:val="21"/>
        </w:rPr>
      </w:pPr>
      <w:r>
        <w:rPr>
          <w:rFonts w:eastAsia="黑体"/>
          <w:spacing w:val="11"/>
          <w:szCs w:val="21"/>
        </w:rPr>
        <w:t>7.1.5 秧田管理</w:t>
      </w:r>
    </w:p>
    <w:p w14:paraId="5968250E">
      <w:pPr>
        <w:spacing w:before="218" w:line="285" w:lineRule="auto"/>
        <w:ind w:firstLine="436" w:firstLineChars="200"/>
      </w:pPr>
      <w:r>
        <w:rPr>
          <w:spacing w:val="4"/>
        </w:rPr>
        <w:t>播后3天～5天，齐苗后揭膜，灌一次平沟水，以弥补盘内水分不足。秧苗1叶1心时，每667 m</w:t>
      </w:r>
      <w:r>
        <w:rPr>
          <w:spacing w:val="4"/>
          <w:vertAlign w:val="superscript"/>
        </w:rPr>
        <w:t>2</w:t>
      </w:r>
      <w:r>
        <w:rPr>
          <w:spacing w:val="4"/>
        </w:rPr>
        <w:t>用尿素3 kg～4 kg，兑水1000 kg浇施。移栽前2 d～3 d，视秧苗情况适量使用送嫁肥。</w:t>
      </w:r>
    </w:p>
    <w:p w14:paraId="0098A2D5">
      <w:pPr>
        <w:spacing w:before="228" w:line="222" w:lineRule="auto"/>
        <w:outlineLvl w:val="6"/>
        <w:rPr>
          <w:rFonts w:eastAsia="黑体"/>
          <w:spacing w:val="11"/>
          <w:szCs w:val="21"/>
        </w:rPr>
      </w:pPr>
      <w:r>
        <w:rPr>
          <w:rFonts w:eastAsia="黑体"/>
          <w:spacing w:val="11"/>
          <w:szCs w:val="21"/>
        </w:rPr>
        <w:t>7.1.6 秧苗素质</w:t>
      </w:r>
    </w:p>
    <w:p w14:paraId="279DB20D">
      <w:pPr>
        <w:pStyle w:val="41"/>
        <w:ind w:firstLine="436" w:firstLineChars="200"/>
        <w:jc w:val="both"/>
        <w:rPr>
          <w:rFonts w:ascii="Times New Roman" w:hAnsi="Times New Roman" w:eastAsia="宋体"/>
          <w:b w:val="0"/>
          <w:spacing w:val="4"/>
          <w:sz w:val="21"/>
          <w:szCs w:val="24"/>
        </w:rPr>
      </w:pPr>
      <w:r>
        <w:rPr>
          <w:rFonts w:ascii="Times New Roman" w:hAnsi="Times New Roman" w:eastAsia="宋体"/>
          <w:b w:val="0"/>
          <w:spacing w:val="4"/>
          <w:sz w:val="21"/>
          <w:szCs w:val="24"/>
        </w:rPr>
        <w:t>秧龄20 d~25 d，叶龄4叶左右。</w:t>
      </w:r>
    </w:p>
    <w:p w14:paraId="20ABCF98">
      <w:pPr>
        <w:spacing w:before="228" w:line="222" w:lineRule="auto"/>
        <w:outlineLvl w:val="6"/>
        <w:rPr>
          <w:rFonts w:eastAsia="黑体"/>
          <w:spacing w:val="11"/>
          <w:szCs w:val="21"/>
        </w:rPr>
      </w:pPr>
      <w:r>
        <w:rPr>
          <w:rFonts w:eastAsia="黑体"/>
          <w:spacing w:val="11"/>
          <w:szCs w:val="21"/>
        </w:rPr>
        <w:t>7.2 大田</w:t>
      </w:r>
    </w:p>
    <w:p w14:paraId="197289C5">
      <w:pPr>
        <w:spacing w:before="228" w:line="360" w:lineRule="auto"/>
        <w:outlineLvl w:val="6"/>
        <w:rPr>
          <w:rFonts w:eastAsia="黑体"/>
          <w:spacing w:val="11"/>
          <w:szCs w:val="21"/>
        </w:rPr>
      </w:pPr>
      <w:r>
        <w:rPr>
          <w:rFonts w:eastAsia="黑体"/>
          <w:spacing w:val="11"/>
          <w:szCs w:val="21"/>
        </w:rPr>
        <w:t xml:space="preserve">7.2.1 </w:t>
      </w:r>
      <w:r>
        <w:rPr>
          <w:rFonts w:hint="eastAsia" w:eastAsia="黑体"/>
          <w:spacing w:val="11"/>
          <w:szCs w:val="21"/>
        </w:rPr>
        <w:t>产地环境</w:t>
      </w:r>
    </w:p>
    <w:p w14:paraId="7B7E892F">
      <w:pPr>
        <w:spacing w:line="360" w:lineRule="auto"/>
        <w:ind w:firstLine="420" w:firstLineChars="200"/>
      </w:pPr>
      <w:r>
        <w:rPr>
          <w:rFonts w:hint="eastAsia"/>
        </w:rPr>
        <w:t>产地环境应符合</w:t>
      </w:r>
      <w:r>
        <w:t>NY/T 5010</w:t>
      </w:r>
      <w:r>
        <w:rPr>
          <w:rFonts w:hint="eastAsia"/>
        </w:rPr>
        <w:t>标准要求。</w:t>
      </w:r>
    </w:p>
    <w:p w14:paraId="070B441B">
      <w:pPr>
        <w:spacing w:before="228" w:line="360" w:lineRule="auto"/>
        <w:outlineLvl w:val="6"/>
        <w:rPr>
          <w:rFonts w:eastAsia="黑体"/>
          <w:spacing w:val="11"/>
          <w:szCs w:val="21"/>
        </w:rPr>
      </w:pPr>
      <w:r>
        <w:rPr>
          <w:rFonts w:eastAsia="黑体"/>
          <w:spacing w:val="11"/>
          <w:szCs w:val="21"/>
        </w:rPr>
        <w:t>7.2.2 栽插</w:t>
      </w:r>
    </w:p>
    <w:p w14:paraId="10B49C24">
      <w:pPr>
        <w:spacing w:line="360" w:lineRule="auto"/>
        <w:ind w:firstLine="420" w:firstLineChars="200"/>
      </w:pPr>
      <w:r>
        <w:t>机插行距30 cm，株距12 cm。每667 m</w:t>
      </w:r>
      <w:r>
        <w:rPr>
          <w:vertAlign w:val="superscript"/>
        </w:rPr>
        <w:t>2</w:t>
      </w:r>
      <w:r>
        <w:t>栽1.2万穴以上，每穴栽2</w:t>
      </w:r>
      <w:r>
        <w:rPr>
          <w:rFonts w:hint="eastAsia"/>
        </w:rPr>
        <w:t>粒谷</w:t>
      </w:r>
      <w:r>
        <w:t>苗，基本苗2.5万～3万。</w:t>
      </w:r>
    </w:p>
    <w:p w14:paraId="6DB628EE">
      <w:pPr>
        <w:spacing w:before="228" w:line="360" w:lineRule="auto"/>
        <w:outlineLvl w:val="6"/>
        <w:rPr>
          <w:rFonts w:eastAsia="黑体"/>
          <w:spacing w:val="11"/>
          <w:szCs w:val="21"/>
        </w:rPr>
      </w:pPr>
      <w:r>
        <w:rPr>
          <w:rFonts w:eastAsia="黑体"/>
          <w:spacing w:val="11"/>
          <w:szCs w:val="21"/>
        </w:rPr>
        <w:t>7.2.3 肥料使用</w:t>
      </w:r>
    </w:p>
    <w:p w14:paraId="6348442F">
      <w:pPr>
        <w:pStyle w:val="41"/>
        <w:jc w:val="both"/>
        <w:rPr>
          <w:rFonts w:ascii="Times New Roman" w:hAnsi="Times New Roman"/>
        </w:rPr>
      </w:pPr>
      <w:r>
        <w:rPr>
          <w:rFonts w:ascii="Times New Roman" w:hAnsi="Times New Roman" w:eastAsia="黑体"/>
          <w:b w:val="0"/>
          <w:spacing w:val="11"/>
          <w:sz w:val="21"/>
          <w:szCs w:val="21"/>
        </w:rPr>
        <w:t>7.2.3.1 施肥总量</w:t>
      </w:r>
    </w:p>
    <w:p w14:paraId="6C972B43">
      <w:pPr>
        <w:spacing w:line="360" w:lineRule="auto"/>
        <w:ind w:firstLine="420" w:firstLineChars="200"/>
      </w:pPr>
      <w:r>
        <w:t>大田施肥要求有机肥和无机肥相结合，施足基肥，早施追肥，注意平衡施肥，插秧后早施和重施分蘖肥。每667 m</w:t>
      </w:r>
      <w:r>
        <w:rPr>
          <w:vertAlign w:val="superscript"/>
        </w:rPr>
        <w:t>2</w:t>
      </w:r>
      <w:r>
        <w:t>大田总用肥量折合纯氮18 kg～20 kg，五氧化二磷10 kg～12 kg，氧化钾10 kg～12 kg，有机肥150 kg～200 kg。</w:t>
      </w:r>
    </w:p>
    <w:p w14:paraId="1A251BBC">
      <w:pPr>
        <w:pStyle w:val="62"/>
        <w:numPr>
          <w:ilvl w:val="2"/>
          <w:numId w:val="0"/>
        </w:numPr>
        <w:spacing w:before="156" w:after="156" w:line="360" w:lineRule="auto"/>
        <w:rPr>
          <w:rFonts w:ascii="Times New Roman"/>
          <w:bCs/>
        </w:rPr>
      </w:pPr>
      <w:r>
        <w:rPr>
          <w:rFonts w:ascii="Times New Roman"/>
          <w:bCs/>
        </w:rPr>
        <w:t>7.2.3.2 肥料运筹</w:t>
      </w:r>
    </w:p>
    <w:p w14:paraId="68874042">
      <w:pPr>
        <w:pStyle w:val="62"/>
        <w:numPr>
          <w:ilvl w:val="2"/>
          <w:numId w:val="0"/>
        </w:numPr>
        <w:spacing w:before="156" w:after="156" w:line="360" w:lineRule="auto"/>
        <w:ind w:firstLine="420" w:firstLineChars="200"/>
        <w:rPr>
          <w:rFonts w:ascii="Times New Roman" w:eastAsia="宋体"/>
          <w:kern w:val="2"/>
          <w:szCs w:val="24"/>
        </w:rPr>
      </w:pPr>
      <w:r>
        <w:rPr>
          <w:rFonts w:ascii="Times New Roman" w:eastAsia="宋体"/>
          <w:kern w:val="2"/>
          <w:szCs w:val="24"/>
        </w:rPr>
        <w:t>氮肥按基肥：分蘖肥：穗肥=4:3:3施用，其中分蘖肥在移栽后7天。磷肥一次基肥施用；钾肥分基肥和促花肥等量施用。有机肥当作基肥一次性机施。</w:t>
      </w:r>
    </w:p>
    <w:p w14:paraId="45D836AD">
      <w:pPr>
        <w:pStyle w:val="62"/>
        <w:numPr>
          <w:ilvl w:val="2"/>
          <w:numId w:val="0"/>
        </w:numPr>
        <w:spacing w:before="156" w:after="156" w:line="360" w:lineRule="auto"/>
        <w:rPr>
          <w:rFonts w:ascii="Times New Roman"/>
          <w:bCs/>
        </w:rPr>
      </w:pPr>
      <w:r>
        <w:rPr>
          <w:rFonts w:ascii="Times New Roman"/>
          <w:bCs/>
        </w:rPr>
        <w:t>7.2.4 水浆管理</w:t>
      </w:r>
    </w:p>
    <w:p w14:paraId="02EC5597">
      <w:pPr>
        <w:pStyle w:val="62"/>
        <w:numPr>
          <w:ilvl w:val="2"/>
          <w:numId w:val="0"/>
        </w:numPr>
        <w:spacing w:before="156" w:after="156" w:line="360" w:lineRule="auto"/>
        <w:rPr>
          <w:rFonts w:ascii="Times New Roman"/>
          <w:bCs/>
        </w:rPr>
      </w:pPr>
      <w:r>
        <w:rPr>
          <w:rFonts w:ascii="Times New Roman"/>
          <w:bCs/>
        </w:rPr>
        <w:t xml:space="preserve">7.2.4.1 </w:t>
      </w:r>
      <w:r>
        <w:rPr>
          <w:rFonts w:hint="eastAsia" w:ascii="Times New Roman"/>
          <w:bCs/>
        </w:rPr>
        <w:t>薄水栽插</w:t>
      </w:r>
    </w:p>
    <w:p w14:paraId="377E2A8C">
      <w:pPr>
        <w:pStyle w:val="62"/>
        <w:numPr>
          <w:ilvl w:val="2"/>
          <w:numId w:val="0"/>
        </w:numPr>
        <w:spacing w:before="156" w:after="156" w:line="360" w:lineRule="auto"/>
        <w:ind w:firstLine="420" w:firstLineChars="200"/>
        <w:rPr>
          <w:rFonts w:ascii="Times New Roman" w:eastAsia="宋体"/>
          <w:kern w:val="2"/>
          <w:szCs w:val="24"/>
        </w:rPr>
      </w:pPr>
      <w:r>
        <w:rPr>
          <w:rFonts w:hint="eastAsia" w:ascii="Times New Roman" w:eastAsia="宋体"/>
          <w:kern w:val="2"/>
          <w:szCs w:val="24"/>
        </w:rPr>
        <w:t>籼粳杂交稻全生育期水分管理以湿润灌溉为主，移栽期浅水插秧，栽后3</w:t>
      </w:r>
      <w:r>
        <w:t>～</w:t>
      </w:r>
      <w:r>
        <w:rPr>
          <w:rFonts w:hint="eastAsia" w:ascii="Times New Roman" w:eastAsia="宋体"/>
          <w:kern w:val="2"/>
          <w:szCs w:val="24"/>
        </w:rPr>
        <w:t>5天排水露田促根系生长。</w:t>
      </w:r>
    </w:p>
    <w:p w14:paraId="53665FB2">
      <w:pPr>
        <w:pStyle w:val="62"/>
        <w:numPr>
          <w:ilvl w:val="2"/>
          <w:numId w:val="0"/>
        </w:numPr>
        <w:spacing w:before="156" w:after="156" w:line="360" w:lineRule="auto"/>
        <w:rPr>
          <w:rFonts w:ascii="Times New Roman"/>
          <w:bCs/>
        </w:rPr>
      </w:pPr>
      <w:r>
        <w:rPr>
          <w:rFonts w:ascii="Times New Roman"/>
          <w:bCs/>
        </w:rPr>
        <w:t xml:space="preserve">7.2.4.2 </w:t>
      </w:r>
      <w:r>
        <w:rPr>
          <w:rFonts w:hint="eastAsia" w:ascii="Times New Roman"/>
          <w:bCs/>
        </w:rPr>
        <w:t>浅水分蘖</w:t>
      </w:r>
    </w:p>
    <w:p w14:paraId="6315C169">
      <w:pPr>
        <w:pStyle w:val="62"/>
        <w:numPr>
          <w:ilvl w:val="2"/>
          <w:numId w:val="0"/>
        </w:numPr>
        <w:spacing w:before="156" w:after="156" w:line="360" w:lineRule="auto"/>
        <w:ind w:firstLine="420" w:firstLineChars="200"/>
        <w:rPr>
          <w:rFonts w:ascii="Times New Roman" w:eastAsia="宋体"/>
          <w:kern w:val="2"/>
          <w:szCs w:val="24"/>
        </w:rPr>
      </w:pPr>
      <w:r>
        <w:rPr>
          <w:rFonts w:hint="eastAsia" w:ascii="Times New Roman" w:eastAsia="宋体"/>
          <w:kern w:val="2"/>
          <w:szCs w:val="24"/>
        </w:rPr>
        <w:t>分蘖期以薄露灌溉为主，不宜深水灌溉，并多次露田促蘖促根。当田间苗数一季中粳达到计划穗数的80%</w:t>
      </w:r>
      <w:r>
        <w:rPr>
          <w:rFonts w:ascii="Times New Roman" w:eastAsia="宋体"/>
          <w:kern w:val="2"/>
          <w:szCs w:val="24"/>
        </w:rPr>
        <w:t>时晒田，提升分蘖成穗率。</w:t>
      </w:r>
    </w:p>
    <w:p w14:paraId="1239E54D">
      <w:pPr>
        <w:pStyle w:val="62"/>
        <w:numPr>
          <w:ilvl w:val="2"/>
          <w:numId w:val="0"/>
        </w:numPr>
        <w:spacing w:before="156" w:after="156" w:line="360" w:lineRule="auto"/>
        <w:rPr>
          <w:rFonts w:ascii="Times New Roman"/>
          <w:bCs/>
        </w:rPr>
      </w:pPr>
      <w:r>
        <w:rPr>
          <w:rFonts w:ascii="Times New Roman"/>
          <w:bCs/>
        </w:rPr>
        <w:t>7.2.4.3 拔节孕穗和抽穗期</w:t>
      </w:r>
      <w:r>
        <w:rPr>
          <w:rFonts w:hint="eastAsia" w:ascii="Times New Roman"/>
          <w:bCs/>
        </w:rPr>
        <w:t>“浅水扬花”</w:t>
      </w:r>
    </w:p>
    <w:p w14:paraId="03B0522D">
      <w:pPr>
        <w:pStyle w:val="62"/>
        <w:numPr>
          <w:ilvl w:val="2"/>
          <w:numId w:val="0"/>
        </w:numPr>
        <w:spacing w:before="156" w:after="156" w:line="360" w:lineRule="auto"/>
        <w:ind w:firstLine="420" w:firstLineChars="200"/>
        <w:rPr>
          <w:rFonts w:ascii="Times New Roman" w:eastAsia="宋体"/>
          <w:kern w:val="2"/>
          <w:szCs w:val="24"/>
        </w:rPr>
      </w:pPr>
      <w:r>
        <w:rPr>
          <w:rFonts w:ascii="Times New Roman" w:eastAsia="宋体"/>
          <w:kern w:val="2"/>
          <w:szCs w:val="24"/>
        </w:rPr>
        <w:t>水稻拔节孕穗期至抽穗扬花期保持2 cm～3 cm浅水层。</w:t>
      </w:r>
    </w:p>
    <w:p w14:paraId="70EDA4D6">
      <w:pPr>
        <w:pStyle w:val="62"/>
        <w:numPr>
          <w:ilvl w:val="2"/>
          <w:numId w:val="0"/>
        </w:numPr>
        <w:spacing w:before="156" w:after="156" w:line="360" w:lineRule="auto"/>
        <w:rPr>
          <w:rFonts w:ascii="Times New Roman"/>
          <w:bCs/>
        </w:rPr>
      </w:pPr>
      <w:r>
        <w:rPr>
          <w:rFonts w:ascii="Times New Roman"/>
          <w:bCs/>
        </w:rPr>
        <w:t>7.2.4.4 灌浆结实期</w:t>
      </w:r>
      <w:r>
        <w:rPr>
          <w:rFonts w:hint="eastAsia" w:ascii="Times New Roman"/>
          <w:bCs/>
        </w:rPr>
        <w:t>“浅-湿-干”交替</w:t>
      </w:r>
    </w:p>
    <w:p w14:paraId="2A64DBCF">
      <w:pPr>
        <w:pStyle w:val="62"/>
        <w:numPr>
          <w:ilvl w:val="2"/>
          <w:numId w:val="0"/>
        </w:numPr>
        <w:spacing w:before="156" w:after="156" w:line="360" w:lineRule="auto"/>
        <w:ind w:firstLine="420" w:firstLineChars="200"/>
        <w:rPr>
          <w:rFonts w:ascii="Times New Roman" w:eastAsia="宋体"/>
          <w:kern w:val="2"/>
          <w:szCs w:val="24"/>
        </w:rPr>
      </w:pPr>
      <w:r>
        <w:rPr>
          <w:rFonts w:ascii="Times New Roman" w:eastAsia="宋体"/>
          <w:kern w:val="2"/>
          <w:szCs w:val="24"/>
        </w:rPr>
        <w:t>灌浆期间，田间一段时间保持1 cm～2 cm浅水层，</w:t>
      </w:r>
      <w:r>
        <w:rPr>
          <w:rFonts w:hint="eastAsia" w:ascii="Times New Roman" w:eastAsia="宋体"/>
          <w:kern w:val="2"/>
          <w:szCs w:val="24"/>
        </w:rPr>
        <w:t>籼粳杂交稻灌浆结实期长，全期分多次浅水灌溉，提倡后水不见前水，保持田间湿润，实行“干干湿湿壮籽”，后期切勿断水过早，确保穗基部籽粒充分完熟。</w:t>
      </w:r>
      <w:r>
        <w:rPr>
          <w:rFonts w:ascii="Times New Roman" w:eastAsia="宋体"/>
          <w:kern w:val="2"/>
          <w:szCs w:val="24"/>
        </w:rPr>
        <w:t>收获前一周断水。</w:t>
      </w:r>
    </w:p>
    <w:p w14:paraId="37E10254">
      <w:pPr>
        <w:pStyle w:val="62"/>
        <w:numPr>
          <w:ilvl w:val="2"/>
          <w:numId w:val="0"/>
        </w:numPr>
        <w:spacing w:before="156" w:after="156" w:line="360" w:lineRule="auto"/>
        <w:rPr>
          <w:rFonts w:ascii="Times New Roman"/>
          <w:bCs/>
        </w:rPr>
      </w:pPr>
      <w:r>
        <w:rPr>
          <w:rFonts w:ascii="Times New Roman"/>
          <w:bCs/>
        </w:rPr>
        <w:t>7.2.5 病虫草害防治</w:t>
      </w:r>
    </w:p>
    <w:p w14:paraId="0EBA12B0">
      <w:pPr>
        <w:pStyle w:val="62"/>
        <w:numPr>
          <w:ilvl w:val="2"/>
          <w:numId w:val="0"/>
        </w:numPr>
        <w:spacing w:before="156" w:after="156" w:line="360" w:lineRule="auto"/>
        <w:rPr>
          <w:rFonts w:ascii="Times New Roman"/>
          <w:bCs/>
        </w:rPr>
      </w:pPr>
      <w:r>
        <w:rPr>
          <w:rFonts w:ascii="Times New Roman"/>
          <w:bCs/>
        </w:rPr>
        <w:t>7.2.5.1 防治原则</w:t>
      </w:r>
    </w:p>
    <w:p w14:paraId="0DC2047C">
      <w:pPr>
        <w:pStyle w:val="62"/>
        <w:numPr>
          <w:ilvl w:val="2"/>
          <w:numId w:val="0"/>
        </w:numPr>
        <w:spacing w:before="156" w:after="156" w:line="360" w:lineRule="auto"/>
        <w:ind w:firstLine="420" w:firstLineChars="200"/>
        <w:rPr>
          <w:rFonts w:ascii="Times New Roman" w:eastAsia="宋体"/>
          <w:kern w:val="2"/>
          <w:szCs w:val="24"/>
        </w:rPr>
      </w:pPr>
      <w:r>
        <w:rPr>
          <w:rFonts w:ascii="Times New Roman" w:eastAsia="宋体"/>
          <w:kern w:val="2"/>
          <w:szCs w:val="24"/>
        </w:rPr>
        <w:t>农药使用应符合GB/T 8321.10要求，注意不同农药的交替使用和合理混用。</w:t>
      </w:r>
    </w:p>
    <w:p w14:paraId="2C2889E9">
      <w:pPr>
        <w:pStyle w:val="62"/>
        <w:numPr>
          <w:ilvl w:val="2"/>
          <w:numId w:val="0"/>
        </w:numPr>
        <w:spacing w:before="156" w:after="156" w:line="360" w:lineRule="auto"/>
        <w:rPr>
          <w:rFonts w:ascii="Times New Roman"/>
          <w:bCs/>
        </w:rPr>
      </w:pPr>
      <w:r>
        <w:rPr>
          <w:rFonts w:ascii="Times New Roman"/>
          <w:bCs/>
        </w:rPr>
        <w:t>7.2.5.2杂草防除</w:t>
      </w:r>
    </w:p>
    <w:p w14:paraId="613B1DB1">
      <w:pPr>
        <w:pStyle w:val="62"/>
        <w:numPr>
          <w:ilvl w:val="2"/>
          <w:numId w:val="0"/>
        </w:numPr>
        <w:spacing w:before="156" w:after="156" w:line="360" w:lineRule="auto"/>
        <w:ind w:firstLine="420" w:firstLineChars="200"/>
        <w:rPr>
          <w:rFonts w:ascii="Times New Roman" w:eastAsia="宋体"/>
          <w:kern w:val="2"/>
          <w:szCs w:val="24"/>
        </w:rPr>
      </w:pPr>
      <w:r>
        <w:rPr>
          <w:rFonts w:ascii="Times New Roman" w:eastAsia="宋体"/>
          <w:kern w:val="2"/>
          <w:szCs w:val="24"/>
        </w:rPr>
        <w:t>移栽后5d～7d，结合施分蘖肥进行化学除草，分蘖末期补除阔叶及莎草科杂草，方法见附录A。</w:t>
      </w:r>
    </w:p>
    <w:p w14:paraId="5D2DF486">
      <w:pPr>
        <w:pStyle w:val="62"/>
        <w:numPr>
          <w:ilvl w:val="2"/>
          <w:numId w:val="0"/>
        </w:numPr>
        <w:spacing w:before="156" w:after="156" w:line="360" w:lineRule="auto"/>
        <w:rPr>
          <w:rFonts w:ascii="Times New Roman"/>
          <w:bCs/>
        </w:rPr>
      </w:pPr>
      <w:r>
        <w:rPr>
          <w:rFonts w:ascii="Times New Roman"/>
          <w:bCs/>
        </w:rPr>
        <w:t>7.2.5.3 防治病虫</w:t>
      </w:r>
    </w:p>
    <w:p w14:paraId="77419816">
      <w:pPr>
        <w:pStyle w:val="62"/>
        <w:numPr>
          <w:ilvl w:val="2"/>
          <w:numId w:val="0"/>
        </w:numPr>
        <w:spacing w:before="156" w:after="156" w:line="360" w:lineRule="auto"/>
        <w:rPr>
          <w:rFonts w:ascii="Times New Roman"/>
          <w:bCs/>
        </w:rPr>
      </w:pPr>
      <w:r>
        <w:rPr>
          <w:rFonts w:hint="eastAsia" w:ascii="Times New Roman"/>
          <w:bCs/>
        </w:rPr>
        <w:t>7.2.5.3.1 苗期</w:t>
      </w:r>
    </w:p>
    <w:p w14:paraId="3C2A97C6">
      <w:pPr>
        <w:pStyle w:val="62"/>
        <w:numPr>
          <w:ilvl w:val="2"/>
          <w:numId w:val="0"/>
        </w:numPr>
        <w:spacing w:before="156" w:after="156" w:line="360" w:lineRule="auto"/>
        <w:ind w:firstLine="420" w:firstLineChars="200"/>
        <w:rPr>
          <w:rFonts w:ascii="Times New Roman" w:eastAsia="宋体"/>
          <w:kern w:val="2"/>
          <w:szCs w:val="24"/>
        </w:rPr>
      </w:pPr>
      <w:r>
        <w:rPr>
          <w:rFonts w:hint="eastAsia" w:ascii="Times New Roman" w:eastAsia="宋体"/>
          <w:kern w:val="2"/>
          <w:szCs w:val="24"/>
        </w:rPr>
        <w:t>秧田期重点防治恶苗病，稻蓟马、稻飞虱等</w:t>
      </w:r>
      <w:r>
        <w:rPr>
          <w:rFonts w:ascii="Times New Roman" w:eastAsia="宋体"/>
          <w:kern w:val="2"/>
          <w:szCs w:val="24"/>
        </w:rPr>
        <w:t>，防治方法见附录A。</w:t>
      </w:r>
    </w:p>
    <w:p w14:paraId="3F443832">
      <w:pPr>
        <w:pStyle w:val="62"/>
        <w:numPr>
          <w:ilvl w:val="2"/>
          <w:numId w:val="0"/>
        </w:numPr>
        <w:spacing w:before="156" w:after="156" w:line="360" w:lineRule="auto"/>
        <w:rPr>
          <w:rFonts w:ascii="Times New Roman"/>
          <w:bCs/>
        </w:rPr>
      </w:pPr>
      <w:r>
        <w:rPr>
          <w:rFonts w:ascii="Times New Roman"/>
          <w:bCs/>
        </w:rPr>
        <w:t>7.2.5.3.1 分蘖期</w:t>
      </w:r>
    </w:p>
    <w:p w14:paraId="43C80AD9">
      <w:pPr>
        <w:pStyle w:val="62"/>
        <w:numPr>
          <w:ilvl w:val="2"/>
          <w:numId w:val="0"/>
        </w:numPr>
        <w:spacing w:before="156" w:after="156" w:line="360" w:lineRule="auto"/>
        <w:ind w:firstLine="420" w:firstLineChars="200"/>
        <w:rPr>
          <w:rFonts w:ascii="Times New Roman" w:eastAsia="宋体"/>
          <w:kern w:val="2"/>
          <w:szCs w:val="24"/>
        </w:rPr>
      </w:pPr>
      <w:r>
        <w:rPr>
          <w:rFonts w:ascii="Times New Roman" w:eastAsia="宋体"/>
          <w:kern w:val="2"/>
          <w:szCs w:val="24"/>
        </w:rPr>
        <w:t>防治</w:t>
      </w:r>
      <w:r>
        <w:rPr>
          <w:rFonts w:hint="eastAsia" w:ascii="Times New Roman" w:eastAsia="宋体"/>
          <w:kern w:val="2"/>
          <w:szCs w:val="24"/>
        </w:rPr>
        <w:t>稻</w:t>
      </w:r>
      <w:r>
        <w:rPr>
          <w:rFonts w:ascii="Times New Roman" w:eastAsia="宋体"/>
          <w:kern w:val="2"/>
          <w:szCs w:val="24"/>
        </w:rPr>
        <w:t>飞虱、叶瘟、纹枯病等，防治方法见附录A。</w:t>
      </w:r>
    </w:p>
    <w:p w14:paraId="0C4283A3">
      <w:pPr>
        <w:pStyle w:val="62"/>
        <w:numPr>
          <w:ilvl w:val="2"/>
          <w:numId w:val="0"/>
        </w:numPr>
        <w:spacing w:before="156" w:after="156" w:line="360" w:lineRule="auto"/>
        <w:rPr>
          <w:rFonts w:ascii="Times New Roman"/>
          <w:bCs/>
        </w:rPr>
      </w:pPr>
      <w:r>
        <w:rPr>
          <w:rFonts w:ascii="Times New Roman"/>
          <w:bCs/>
        </w:rPr>
        <w:t>7.2.5.3.2 拔节抽穗期</w:t>
      </w:r>
    </w:p>
    <w:p w14:paraId="1BEACCD7">
      <w:pPr>
        <w:pStyle w:val="62"/>
        <w:numPr>
          <w:ilvl w:val="2"/>
          <w:numId w:val="0"/>
        </w:numPr>
        <w:spacing w:before="156" w:after="156" w:line="360" w:lineRule="auto"/>
        <w:ind w:firstLine="420" w:firstLineChars="200"/>
        <w:rPr>
          <w:rFonts w:ascii="Times New Roman" w:eastAsia="宋体"/>
          <w:kern w:val="2"/>
          <w:szCs w:val="24"/>
        </w:rPr>
      </w:pPr>
      <w:r>
        <w:rPr>
          <w:rFonts w:ascii="Times New Roman" w:eastAsia="宋体"/>
          <w:kern w:val="2"/>
          <w:szCs w:val="24"/>
        </w:rPr>
        <w:t>防治稻纵卷叶螟、二化螟、</w:t>
      </w:r>
      <w:r>
        <w:rPr>
          <w:rFonts w:hint="eastAsia" w:ascii="Times New Roman" w:eastAsia="宋体"/>
          <w:kern w:val="2"/>
          <w:szCs w:val="24"/>
        </w:rPr>
        <w:t>稻</w:t>
      </w:r>
      <w:r>
        <w:rPr>
          <w:rFonts w:ascii="Times New Roman" w:eastAsia="宋体"/>
          <w:kern w:val="2"/>
          <w:szCs w:val="24"/>
        </w:rPr>
        <w:t>飞虱、纹枯病</w:t>
      </w:r>
      <w:r>
        <w:rPr>
          <w:rFonts w:hint="eastAsia" w:ascii="Times New Roman" w:eastAsia="宋体"/>
          <w:kern w:val="2"/>
          <w:szCs w:val="24"/>
        </w:rPr>
        <w:t>、白叶枯病</w:t>
      </w:r>
      <w:r>
        <w:rPr>
          <w:rFonts w:ascii="Times New Roman" w:eastAsia="宋体"/>
          <w:kern w:val="2"/>
          <w:szCs w:val="24"/>
        </w:rPr>
        <w:t>等，防治方法见附录A。</w:t>
      </w:r>
    </w:p>
    <w:p w14:paraId="742E4344">
      <w:pPr>
        <w:pStyle w:val="62"/>
        <w:numPr>
          <w:ilvl w:val="2"/>
          <w:numId w:val="0"/>
        </w:numPr>
        <w:spacing w:before="156" w:after="156" w:line="360" w:lineRule="auto"/>
        <w:rPr>
          <w:rFonts w:ascii="Times New Roman"/>
          <w:bCs/>
        </w:rPr>
      </w:pPr>
      <w:r>
        <w:rPr>
          <w:rFonts w:ascii="Times New Roman"/>
          <w:bCs/>
        </w:rPr>
        <w:t>7.2.5.3.3  破口期及齐穗期</w:t>
      </w:r>
    </w:p>
    <w:p w14:paraId="72EDD600">
      <w:pPr>
        <w:pStyle w:val="62"/>
        <w:numPr>
          <w:ilvl w:val="2"/>
          <w:numId w:val="0"/>
        </w:numPr>
        <w:spacing w:before="156" w:after="156" w:line="360" w:lineRule="auto"/>
        <w:ind w:firstLine="420" w:firstLineChars="200"/>
        <w:rPr>
          <w:rFonts w:ascii="Times New Roman" w:eastAsia="宋体"/>
          <w:kern w:val="2"/>
          <w:szCs w:val="24"/>
        </w:rPr>
      </w:pPr>
      <w:r>
        <w:rPr>
          <w:rFonts w:ascii="Times New Roman" w:eastAsia="宋体"/>
          <w:kern w:val="2"/>
          <w:szCs w:val="24"/>
        </w:rPr>
        <w:t>防治稻曲病、穗颈瘟、稻纵卷叶螟、稻飞虱等病虫害，防治方法见附录A。</w:t>
      </w:r>
    </w:p>
    <w:p w14:paraId="688366E5">
      <w:pPr>
        <w:pStyle w:val="62"/>
        <w:numPr>
          <w:ilvl w:val="2"/>
          <w:numId w:val="0"/>
        </w:numPr>
        <w:spacing w:before="156" w:after="156" w:line="360" w:lineRule="auto"/>
        <w:rPr>
          <w:rFonts w:ascii="Times New Roman"/>
          <w:bCs/>
        </w:rPr>
      </w:pPr>
      <w:r>
        <w:rPr>
          <w:rFonts w:ascii="Times New Roman"/>
          <w:bCs/>
        </w:rPr>
        <w:t>8  收获</w:t>
      </w:r>
    </w:p>
    <w:p w14:paraId="6871C456">
      <w:pPr>
        <w:pStyle w:val="62"/>
        <w:numPr>
          <w:ilvl w:val="2"/>
          <w:numId w:val="0"/>
        </w:numPr>
        <w:spacing w:before="156" w:after="156" w:line="360" w:lineRule="auto"/>
        <w:ind w:firstLine="420" w:firstLineChars="200"/>
        <w:rPr>
          <w:rFonts w:ascii="Times New Roman" w:eastAsia="宋体"/>
          <w:kern w:val="2"/>
          <w:szCs w:val="24"/>
        </w:rPr>
      </w:pPr>
      <w:r>
        <w:rPr>
          <w:rFonts w:ascii="Times New Roman" w:eastAsia="宋体"/>
          <w:kern w:val="2"/>
          <w:szCs w:val="24"/>
        </w:rPr>
        <w:t>水稻黄熟期，露水干后收获，当稻谷水分下降到14.5%左右贮藏。</w:t>
      </w:r>
    </w:p>
    <w:p w14:paraId="2E402A41">
      <w:pPr>
        <w:pStyle w:val="62"/>
        <w:numPr>
          <w:ilvl w:val="2"/>
          <w:numId w:val="0"/>
        </w:numPr>
        <w:spacing w:before="156" w:after="156" w:line="360" w:lineRule="auto"/>
        <w:rPr>
          <w:rFonts w:ascii="Times New Roman"/>
          <w:bCs/>
        </w:rPr>
      </w:pPr>
      <w:r>
        <w:rPr>
          <w:rFonts w:ascii="Times New Roman"/>
          <w:bCs/>
        </w:rPr>
        <w:t>9  记录档案</w:t>
      </w:r>
    </w:p>
    <w:p w14:paraId="12D308F6">
      <w:pPr>
        <w:pStyle w:val="62"/>
        <w:numPr>
          <w:ilvl w:val="2"/>
          <w:numId w:val="0"/>
        </w:numPr>
        <w:spacing w:before="156" w:after="156" w:line="360" w:lineRule="auto"/>
        <w:ind w:firstLine="420" w:firstLineChars="200"/>
        <w:rPr>
          <w:rFonts w:ascii="Times New Roman"/>
          <w:bCs/>
        </w:rPr>
      </w:pPr>
      <w:r>
        <w:rPr>
          <w:rFonts w:ascii="Times New Roman" w:eastAsia="宋体"/>
          <w:kern w:val="2"/>
          <w:szCs w:val="24"/>
        </w:rPr>
        <w:t>建立生产档案，生产档案保存不少于2年。</w:t>
      </w:r>
      <w:r>
        <w:rPr>
          <w:rFonts w:ascii="宋体" w:hAnsi="宋体" w:cs="宋体"/>
          <w:spacing w:val="-5"/>
        </w:rPr>
        <w:br w:type="page"/>
      </w:r>
    </w:p>
    <w:p w14:paraId="51B85140">
      <w:pPr>
        <w:pStyle w:val="151"/>
        <w:numPr>
          <w:ilvl w:val="0"/>
          <w:numId w:val="0"/>
        </w:numPr>
        <w:spacing w:before="78" w:after="156" w:line="360" w:lineRule="auto"/>
        <w:rPr>
          <w:rFonts w:hAnsi="黑体" w:cs="黑体"/>
        </w:rPr>
      </w:pPr>
      <w:bookmarkStart w:id="16" w:name="_Toc13837"/>
      <w:r>
        <w:rPr>
          <w:rFonts w:hint="eastAsia" w:cs="黑体"/>
          <w:highlight w:val="lightGray"/>
        </w:rPr>
        <w:t>附录</w:t>
      </w:r>
      <w:r>
        <w:rPr>
          <w:rFonts w:hint="eastAsia" w:cs="黑体"/>
        </w:rPr>
        <w:t>A</w:t>
      </w:r>
      <w:r>
        <w:rPr>
          <w:rFonts w:hint="eastAsia" w:hAnsi="黑体" w:cs="黑体"/>
        </w:rPr>
        <w:br w:type="textWrapping"/>
      </w:r>
      <w:r>
        <w:rPr>
          <w:rFonts w:hint="eastAsia" w:hAnsi="黑体" w:cs="黑体"/>
        </w:rPr>
        <w:t>（资料性）</w:t>
      </w:r>
      <w:bookmarkEnd w:id="16"/>
    </w:p>
    <w:p w14:paraId="31524279">
      <w:pPr>
        <w:pStyle w:val="151"/>
        <w:numPr>
          <w:ilvl w:val="0"/>
          <w:numId w:val="0"/>
        </w:numPr>
        <w:spacing w:before="78" w:after="156" w:line="360" w:lineRule="auto"/>
        <w:rPr>
          <w:rFonts w:hAnsi="黑体" w:cs="黑体"/>
        </w:rPr>
      </w:pPr>
      <w:r>
        <w:rPr>
          <w:rFonts w:hint="eastAsia" w:hAnsi="黑体" w:cs="黑体"/>
        </w:rPr>
        <w:t>主要病虫草害防治</w:t>
      </w:r>
    </w:p>
    <w:p w14:paraId="7D53DC08">
      <w:pPr>
        <w:pStyle w:val="151"/>
        <w:numPr>
          <w:ilvl w:val="0"/>
          <w:numId w:val="0"/>
        </w:numPr>
        <w:spacing w:before="78" w:after="156"/>
        <w:jc w:val="both"/>
        <w:rPr>
          <w:rFonts w:ascii="宋体" w:hAnsi="宋体" w:eastAsia="宋体"/>
        </w:rPr>
      </w:pPr>
      <w:bookmarkStart w:id="17" w:name="_Toc3198"/>
      <w:r>
        <w:rPr>
          <w:rFonts w:hint="eastAsia" w:ascii="宋体" w:hAnsi="宋体" w:eastAsia="宋体"/>
        </w:rPr>
        <w:t>表A.1</w:t>
      </w:r>
      <w:bookmarkEnd w:id="17"/>
      <w:r>
        <w:rPr>
          <w:rFonts w:hint="eastAsia" w:ascii="宋体" w:hAnsi="宋体" w:eastAsia="宋体"/>
        </w:rPr>
        <w:t>规定了水稻病虫草害防治的常用农药、用量及方法。</w:t>
      </w:r>
    </w:p>
    <w:p w14:paraId="0CC54A84">
      <w:pPr>
        <w:pStyle w:val="151"/>
        <w:numPr>
          <w:ilvl w:val="0"/>
          <w:numId w:val="0"/>
        </w:numPr>
        <w:spacing w:before="78" w:after="156"/>
        <w:rPr>
          <w:rFonts w:ascii="宋体" w:hAnsi="宋体" w:eastAsia="宋体"/>
        </w:rPr>
      </w:pPr>
      <w:r>
        <w:rPr>
          <w:rFonts w:hint="eastAsia"/>
        </w:rPr>
        <w:t xml:space="preserve">   </w:t>
      </w:r>
      <w:bookmarkStart w:id="18" w:name="_Toc31384"/>
      <w:r>
        <w:t>表A.</w:t>
      </w:r>
      <w:r>
        <w:rPr>
          <w:rFonts w:hint="eastAsia"/>
        </w:rPr>
        <w:t>1</w:t>
      </w:r>
      <w:r>
        <w:t xml:space="preserve"> </w:t>
      </w:r>
      <w:bookmarkEnd w:id="18"/>
      <w:r>
        <w:rPr>
          <w:rFonts w:hint="eastAsia"/>
        </w:rPr>
        <w:t>水稻病虫草害防治的常用农药、用量及方法</w:t>
      </w:r>
    </w:p>
    <w:tbl>
      <w:tblPr>
        <w:tblStyle w:val="43"/>
        <w:tblW w:w="950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30"/>
        <w:gridCol w:w="1469"/>
        <w:gridCol w:w="1977"/>
        <w:gridCol w:w="1984"/>
        <w:gridCol w:w="839"/>
        <w:gridCol w:w="509"/>
        <w:gridCol w:w="1494"/>
      </w:tblGrid>
      <w:tr w14:paraId="2BE4C9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1230" w:type="dxa"/>
          </w:tcPr>
          <w:p w14:paraId="3D1BFE15">
            <w:pPr>
              <w:spacing w:before="144" w:line="220" w:lineRule="auto"/>
              <w:ind w:left="126"/>
              <w:jc w:val="center"/>
              <w:rPr>
                <w:sz w:val="18"/>
                <w:szCs w:val="18"/>
              </w:rPr>
            </w:pPr>
            <w:bookmarkStart w:id="19" w:name="_Toc15819"/>
            <w:bookmarkEnd w:id="19"/>
            <w:r>
              <w:rPr>
                <w:spacing w:val="-5"/>
                <w:sz w:val="18"/>
                <w:szCs w:val="18"/>
              </w:rPr>
              <w:t>防</w:t>
            </w:r>
            <w:r>
              <w:rPr>
                <w:spacing w:val="-3"/>
                <w:sz w:val="18"/>
                <w:szCs w:val="18"/>
              </w:rPr>
              <w:t>治对象</w:t>
            </w:r>
          </w:p>
        </w:tc>
        <w:tc>
          <w:tcPr>
            <w:tcW w:w="1469" w:type="dxa"/>
          </w:tcPr>
          <w:p w14:paraId="1E36337A">
            <w:pPr>
              <w:spacing w:before="145" w:line="220" w:lineRule="auto"/>
              <w:ind w:left="122"/>
              <w:jc w:val="center"/>
              <w:rPr>
                <w:sz w:val="18"/>
                <w:szCs w:val="18"/>
              </w:rPr>
            </w:pPr>
            <w:r>
              <w:rPr>
                <w:spacing w:val="-5"/>
                <w:sz w:val="18"/>
                <w:szCs w:val="18"/>
              </w:rPr>
              <w:t>防</w:t>
            </w:r>
            <w:r>
              <w:rPr>
                <w:spacing w:val="-3"/>
                <w:sz w:val="18"/>
                <w:szCs w:val="18"/>
              </w:rPr>
              <w:t>治时间</w:t>
            </w:r>
          </w:p>
        </w:tc>
        <w:tc>
          <w:tcPr>
            <w:tcW w:w="1977" w:type="dxa"/>
          </w:tcPr>
          <w:p w14:paraId="3AC91CFC">
            <w:pPr>
              <w:spacing w:before="145" w:line="220" w:lineRule="auto"/>
              <w:ind w:left="122"/>
              <w:jc w:val="center"/>
              <w:rPr>
                <w:sz w:val="18"/>
                <w:szCs w:val="18"/>
              </w:rPr>
            </w:pPr>
            <w:r>
              <w:rPr>
                <w:spacing w:val="-5"/>
                <w:sz w:val="18"/>
                <w:szCs w:val="18"/>
              </w:rPr>
              <w:t>防</w:t>
            </w:r>
            <w:r>
              <w:rPr>
                <w:spacing w:val="-3"/>
                <w:sz w:val="18"/>
                <w:szCs w:val="18"/>
              </w:rPr>
              <w:t>治指标</w:t>
            </w:r>
          </w:p>
        </w:tc>
        <w:tc>
          <w:tcPr>
            <w:tcW w:w="1984" w:type="dxa"/>
          </w:tcPr>
          <w:p w14:paraId="3EAB0C61">
            <w:pPr>
              <w:spacing w:before="144" w:line="219" w:lineRule="auto"/>
              <w:ind w:left="123"/>
              <w:jc w:val="center"/>
              <w:rPr>
                <w:sz w:val="18"/>
                <w:szCs w:val="18"/>
              </w:rPr>
            </w:pPr>
            <w:r>
              <w:rPr>
                <w:spacing w:val="-5"/>
                <w:sz w:val="18"/>
                <w:szCs w:val="18"/>
              </w:rPr>
              <w:t>防</w:t>
            </w:r>
            <w:r>
              <w:rPr>
                <w:spacing w:val="-3"/>
                <w:sz w:val="18"/>
                <w:szCs w:val="18"/>
              </w:rPr>
              <w:t>治药剂</w:t>
            </w:r>
          </w:p>
        </w:tc>
        <w:tc>
          <w:tcPr>
            <w:tcW w:w="1348" w:type="dxa"/>
            <w:gridSpan w:val="2"/>
          </w:tcPr>
          <w:p w14:paraId="5D72951D">
            <w:pPr>
              <w:spacing w:before="144" w:line="219" w:lineRule="auto"/>
              <w:ind w:left="114"/>
              <w:jc w:val="center"/>
              <w:rPr>
                <w:sz w:val="18"/>
                <w:szCs w:val="18"/>
              </w:rPr>
            </w:pPr>
            <w:r>
              <w:rPr>
                <w:spacing w:val="-2"/>
                <w:sz w:val="18"/>
                <w:szCs w:val="18"/>
              </w:rPr>
              <w:t>用药剂</w:t>
            </w:r>
            <w:r>
              <w:rPr>
                <w:spacing w:val="-1"/>
                <w:sz w:val="18"/>
                <w:szCs w:val="18"/>
              </w:rPr>
              <w:t>量</w:t>
            </w:r>
          </w:p>
        </w:tc>
        <w:tc>
          <w:tcPr>
            <w:tcW w:w="1494" w:type="dxa"/>
          </w:tcPr>
          <w:p w14:paraId="0859B5EA">
            <w:pPr>
              <w:spacing w:before="145" w:line="220" w:lineRule="auto"/>
              <w:ind w:left="126"/>
              <w:jc w:val="center"/>
              <w:rPr>
                <w:sz w:val="18"/>
                <w:szCs w:val="18"/>
              </w:rPr>
            </w:pPr>
            <w:r>
              <w:rPr>
                <w:spacing w:val="-5"/>
                <w:sz w:val="18"/>
                <w:szCs w:val="18"/>
              </w:rPr>
              <w:t>防</w:t>
            </w:r>
            <w:r>
              <w:rPr>
                <w:spacing w:val="-3"/>
                <w:sz w:val="18"/>
                <w:szCs w:val="18"/>
              </w:rPr>
              <w:t>治方法</w:t>
            </w:r>
          </w:p>
        </w:tc>
      </w:tr>
      <w:tr w14:paraId="471D38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8" w:hRule="atLeast"/>
        </w:trPr>
        <w:tc>
          <w:tcPr>
            <w:tcW w:w="1230" w:type="dxa"/>
          </w:tcPr>
          <w:p w14:paraId="44F6FFE8">
            <w:pPr>
              <w:jc w:val="center"/>
              <w:rPr>
                <w:sz w:val="18"/>
                <w:szCs w:val="18"/>
              </w:rPr>
            </w:pPr>
            <w:r>
              <w:rPr>
                <w:sz w:val="18"/>
                <w:szCs w:val="18"/>
              </w:rPr>
              <w:t>药剂浸种</w:t>
            </w:r>
          </w:p>
        </w:tc>
        <w:tc>
          <w:tcPr>
            <w:tcW w:w="1469" w:type="dxa"/>
          </w:tcPr>
          <w:p w14:paraId="4CBE72D1">
            <w:pPr>
              <w:jc w:val="center"/>
              <w:rPr>
                <w:sz w:val="18"/>
                <w:szCs w:val="18"/>
              </w:rPr>
            </w:pPr>
            <w:r>
              <w:rPr>
                <w:sz w:val="18"/>
                <w:szCs w:val="18"/>
              </w:rPr>
              <w:t>浸种</w:t>
            </w:r>
          </w:p>
        </w:tc>
        <w:tc>
          <w:tcPr>
            <w:tcW w:w="1977" w:type="dxa"/>
          </w:tcPr>
          <w:p w14:paraId="305D88D4">
            <w:pPr>
              <w:jc w:val="center"/>
              <w:rPr>
                <w:sz w:val="18"/>
                <w:szCs w:val="18"/>
              </w:rPr>
            </w:pPr>
          </w:p>
        </w:tc>
        <w:tc>
          <w:tcPr>
            <w:tcW w:w="1984" w:type="dxa"/>
          </w:tcPr>
          <w:p w14:paraId="150FF678">
            <w:pPr>
              <w:jc w:val="center"/>
              <w:rPr>
                <w:sz w:val="18"/>
                <w:szCs w:val="18"/>
              </w:rPr>
            </w:pPr>
            <w:r>
              <w:rPr>
                <w:sz w:val="18"/>
                <w:szCs w:val="18"/>
              </w:rPr>
              <w:t>精甲霜灵 · 咯菌腈</w:t>
            </w:r>
          </w:p>
        </w:tc>
        <w:tc>
          <w:tcPr>
            <w:tcW w:w="1348" w:type="dxa"/>
            <w:gridSpan w:val="2"/>
          </w:tcPr>
          <w:p w14:paraId="70382931">
            <w:pPr>
              <w:jc w:val="center"/>
              <w:rPr>
                <w:sz w:val="18"/>
                <w:szCs w:val="18"/>
              </w:rPr>
            </w:pPr>
            <w:r>
              <w:rPr>
                <w:sz w:val="18"/>
                <w:szCs w:val="18"/>
              </w:rPr>
              <w:t>300～</w:t>
            </w:r>
          </w:p>
          <w:p w14:paraId="11E83AB4">
            <w:pPr>
              <w:jc w:val="center"/>
              <w:rPr>
                <w:sz w:val="18"/>
                <w:szCs w:val="18"/>
              </w:rPr>
            </w:pPr>
            <w:r>
              <w:rPr>
                <w:sz w:val="18"/>
                <w:szCs w:val="18"/>
              </w:rPr>
              <w:t>400ml/667m</w:t>
            </w:r>
            <w:r>
              <w:rPr>
                <w:sz w:val="18"/>
                <w:szCs w:val="18"/>
                <w:vertAlign w:val="superscript"/>
              </w:rPr>
              <w:t>2</w:t>
            </w:r>
          </w:p>
        </w:tc>
        <w:tc>
          <w:tcPr>
            <w:tcW w:w="1494" w:type="dxa"/>
          </w:tcPr>
          <w:p w14:paraId="48F7650F">
            <w:pPr>
              <w:jc w:val="center"/>
              <w:rPr>
                <w:sz w:val="18"/>
                <w:szCs w:val="18"/>
              </w:rPr>
            </w:pPr>
            <w:r>
              <w:rPr>
                <w:sz w:val="18"/>
                <w:szCs w:val="18"/>
              </w:rPr>
              <w:t>药浆与种子充分 搅拌，晾干即可</w:t>
            </w:r>
          </w:p>
        </w:tc>
      </w:tr>
      <w:tr w14:paraId="013974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1230" w:type="dxa"/>
          </w:tcPr>
          <w:p w14:paraId="0BF87221">
            <w:pPr>
              <w:jc w:val="center"/>
              <w:rPr>
                <w:sz w:val="18"/>
                <w:szCs w:val="18"/>
              </w:rPr>
            </w:pPr>
            <w:r>
              <w:rPr>
                <w:sz w:val="18"/>
                <w:szCs w:val="18"/>
              </w:rPr>
              <w:t>草害</w:t>
            </w:r>
          </w:p>
        </w:tc>
        <w:tc>
          <w:tcPr>
            <w:tcW w:w="1469" w:type="dxa"/>
          </w:tcPr>
          <w:p w14:paraId="5A2705A6">
            <w:pPr>
              <w:jc w:val="center"/>
              <w:rPr>
                <w:sz w:val="18"/>
                <w:szCs w:val="18"/>
              </w:rPr>
            </w:pPr>
            <w:r>
              <w:rPr>
                <w:sz w:val="18"/>
                <w:szCs w:val="18"/>
              </w:rPr>
              <w:t>栽插前</w:t>
            </w:r>
          </w:p>
        </w:tc>
        <w:tc>
          <w:tcPr>
            <w:tcW w:w="1977" w:type="dxa"/>
          </w:tcPr>
          <w:p w14:paraId="036DECC7">
            <w:pPr>
              <w:jc w:val="center"/>
              <w:rPr>
                <w:sz w:val="18"/>
                <w:szCs w:val="18"/>
              </w:rPr>
            </w:pPr>
          </w:p>
        </w:tc>
        <w:tc>
          <w:tcPr>
            <w:tcW w:w="1984" w:type="dxa"/>
          </w:tcPr>
          <w:p w14:paraId="2E8658B6">
            <w:pPr>
              <w:jc w:val="center"/>
              <w:rPr>
                <w:sz w:val="18"/>
                <w:szCs w:val="18"/>
              </w:rPr>
            </w:pPr>
            <w:r>
              <w:rPr>
                <w:sz w:val="18"/>
                <w:szCs w:val="18"/>
              </w:rPr>
              <w:t>30%丙草胺乳油</w:t>
            </w:r>
          </w:p>
        </w:tc>
        <w:tc>
          <w:tcPr>
            <w:tcW w:w="1348" w:type="dxa"/>
            <w:gridSpan w:val="2"/>
          </w:tcPr>
          <w:p w14:paraId="3947D7F5">
            <w:pPr>
              <w:jc w:val="center"/>
              <w:rPr>
                <w:sz w:val="18"/>
                <w:szCs w:val="18"/>
              </w:rPr>
            </w:pPr>
            <w:r>
              <w:rPr>
                <w:sz w:val="18"/>
                <w:szCs w:val="18"/>
              </w:rPr>
              <w:t>100ml/667m</w:t>
            </w:r>
            <w:r>
              <w:rPr>
                <w:sz w:val="18"/>
                <w:szCs w:val="18"/>
                <w:vertAlign w:val="superscript"/>
              </w:rPr>
              <w:t>2</w:t>
            </w:r>
          </w:p>
        </w:tc>
        <w:tc>
          <w:tcPr>
            <w:tcW w:w="1494" w:type="dxa"/>
          </w:tcPr>
          <w:p w14:paraId="02E1195D">
            <w:pPr>
              <w:jc w:val="center"/>
              <w:rPr>
                <w:sz w:val="18"/>
                <w:szCs w:val="18"/>
              </w:rPr>
            </w:pPr>
            <w:r>
              <w:rPr>
                <w:sz w:val="18"/>
                <w:szCs w:val="18"/>
              </w:rPr>
              <w:t>兑水30kg喷雾</w:t>
            </w:r>
          </w:p>
        </w:tc>
      </w:tr>
      <w:tr w14:paraId="226E76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1230" w:type="dxa"/>
          </w:tcPr>
          <w:p w14:paraId="008F7268">
            <w:pPr>
              <w:jc w:val="center"/>
              <w:rPr>
                <w:sz w:val="18"/>
                <w:szCs w:val="18"/>
              </w:rPr>
            </w:pPr>
            <w:r>
              <w:rPr>
                <w:sz w:val="18"/>
                <w:szCs w:val="18"/>
              </w:rPr>
              <w:t>草害</w:t>
            </w:r>
          </w:p>
        </w:tc>
        <w:tc>
          <w:tcPr>
            <w:tcW w:w="1469" w:type="dxa"/>
          </w:tcPr>
          <w:p w14:paraId="1D400EA9">
            <w:pPr>
              <w:jc w:val="center"/>
              <w:rPr>
                <w:sz w:val="18"/>
                <w:szCs w:val="18"/>
              </w:rPr>
            </w:pPr>
            <w:r>
              <w:rPr>
                <w:sz w:val="18"/>
                <w:szCs w:val="18"/>
              </w:rPr>
              <w:t>机插后 5 天杂草 萌发前</w:t>
            </w:r>
          </w:p>
        </w:tc>
        <w:tc>
          <w:tcPr>
            <w:tcW w:w="1977" w:type="dxa"/>
          </w:tcPr>
          <w:p w14:paraId="393AD285">
            <w:pPr>
              <w:jc w:val="center"/>
              <w:rPr>
                <w:sz w:val="18"/>
                <w:szCs w:val="18"/>
              </w:rPr>
            </w:pPr>
          </w:p>
        </w:tc>
        <w:tc>
          <w:tcPr>
            <w:tcW w:w="1984" w:type="dxa"/>
          </w:tcPr>
          <w:p w14:paraId="517F29A3">
            <w:pPr>
              <w:jc w:val="center"/>
              <w:rPr>
                <w:sz w:val="18"/>
                <w:szCs w:val="18"/>
              </w:rPr>
            </w:pPr>
            <w:r>
              <w:rPr>
                <w:sz w:val="18"/>
                <w:szCs w:val="18"/>
              </w:rPr>
              <w:t>68%吡嘧 · 苯噻酰可湿 性粉剂 50-70</w:t>
            </w:r>
          </w:p>
        </w:tc>
        <w:tc>
          <w:tcPr>
            <w:tcW w:w="839" w:type="dxa"/>
            <w:tcBorders>
              <w:right w:val="nil"/>
            </w:tcBorders>
          </w:tcPr>
          <w:p w14:paraId="5A4D3B07">
            <w:pPr>
              <w:jc w:val="center"/>
              <w:rPr>
                <w:sz w:val="18"/>
                <w:szCs w:val="18"/>
              </w:rPr>
            </w:pPr>
            <w:r>
              <w:rPr>
                <w:sz w:val="18"/>
                <w:szCs w:val="18"/>
              </w:rPr>
              <w:t>50～70</w:t>
            </w:r>
          </w:p>
          <w:p w14:paraId="7AC68389">
            <w:pPr>
              <w:jc w:val="center"/>
              <w:rPr>
                <w:sz w:val="18"/>
                <w:szCs w:val="18"/>
              </w:rPr>
            </w:pPr>
            <w:r>
              <w:rPr>
                <w:sz w:val="18"/>
                <w:szCs w:val="18"/>
              </w:rPr>
              <w:t>/667m</w:t>
            </w:r>
            <w:r>
              <w:rPr>
                <w:sz w:val="18"/>
                <w:szCs w:val="18"/>
                <w:vertAlign w:val="superscript"/>
              </w:rPr>
              <w:t>2</w:t>
            </w:r>
          </w:p>
        </w:tc>
        <w:tc>
          <w:tcPr>
            <w:tcW w:w="509" w:type="dxa"/>
            <w:tcBorders>
              <w:left w:val="nil"/>
            </w:tcBorders>
          </w:tcPr>
          <w:p w14:paraId="37B1CE23">
            <w:pPr>
              <w:jc w:val="center"/>
              <w:rPr>
                <w:sz w:val="18"/>
                <w:szCs w:val="18"/>
              </w:rPr>
            </w:pPr>
            <w:r>
              <w:rPr>
                <w:sz w:val="18"/>
                <w:szCs w:val="18"/>
              </w:rPr>
              <w:t>克</w:t>
            </w:r>
          </w:p>
        </w:tc>
        <w:tc>
          <w:tcPr>
            <w:tcW w:w="1494" w:type="dxa"/>
          </w:tcPr>
          <w:p w14:paraId="27FD2119">
            <w:pPr>
              <w:jc w:val="center"/>
              <w:rPr>
                <w:sz w:val="18"/>
                <w:szCs w:val="18"/>
              </w:rPr>
            </w:pPr>
            <w:r>
              <w:rPr>
                <w:sz w:val="18"/>
                <w:szCs w:val="18"/>
              </w:rPr>
              <w:t>撒施</w:t>
            </w:r>
          </w:p>
        </w:tc>
      </w:tr>
      <w:tr w14:paraId="7457FC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2" w:hRule="atLeast"/>
        </w:trPr>
        <w:tc>
          <w:tcPr>
            <w:tcW w:w="1230" w:type="dxa"/>
          </w:tcPr>
          <w:p w14:paraId="7F2090F9">
            <w:pPr>
              <w:jc w:val="center"/>
              <w:rPr>
                <w:sz w:val="18"/>
                <w:szCs w:val="18"/>
              </w:rPr>
            </w:pPr>
            <w:r>
              <w:rPr>
                <w:sz w:val="18"/>
                <w:szCs w:val="18"/>
              </w:rPr>
              <w:t>草害</w:t>
            </w:r>
          </w:p>
        </w:tc>
        <w:tc>
          <w:tcPr>
            <w:tcW w:w="1469" w:type="dxa"/>
          </w:tcPr>
          <w:p w14:paraId="6FC4E10C">
            <w:pPr>
              <w:jc w:val="center"/>
              <w:rPr>
                <w:sz w:val="18"/>
                <w:szCs w:val="18"/>
              </w:rPr>
            </w:pPr>
            <w:r>
              <w:rPr>
                <w:sz w:val="18"/>
                <w:szCs w:val="18"/>
              </w:rPr>
              <w:t>分蘖末期</w:t>
            </w:r>
          </w:p>
        </w:tc>
        <w:tc>
          <w:tcPr>
            <w:tcW w:w="1977" w:type="dxa"/>
          </w:tcPr>
          <w:p w14:paraId="5C62EFDE">
            <w:pPr>
              <w:jc w:val="center"/>
              <w:rPr>
                <w:sz w:val="18"/>
                <w:szCs w:val="18"/>
              </w:rPr>
            </w:pPr>
            <w:r>
              <w:rPr>
                <w:sz w:val="18"/>
                <w:szCs w:val="18"/>
              </w:rPr>
              <w:t>杂草较多</w:t>
            </w:r>
          </w:p>
        </w:tc>
        <w:tc>
          <w:tcPr>
            <w:tcW w:w="1984" w:type="dxa"/>
          </w:tcPr>
          <w:p w14:paraId="29235459">
            <w:pPr>
              <w:jc w:val="center"/>
              <w:rPr>
                <w:sz w:val="18"/>
                <w:szCs w:val="18"/>
              </w:rPr>
            </w:pPr>
            <w:r>
              <w:rPr>
                <w:sz w:val="18"/>
                <w:szCs w:val="18"/>
              </w:rPr>
              <w:t>50%丙草胺</w:t>
            </w:r>
          </w:p>
          <w:p w14:paraId="5392614F">
            <w:pPr>
              <w:jc w:val="center"/>
              <w:rPr>
                <w:sz w:val="18"/>
                <w:szCs w:val="18"/>
              </w:rPr>
            </w:pPr>
            <w:r>
              <w:rPr>
                <w:sz w:val="18"/>
                <w:szCs w:val="18"/>
              </w:rPr>
              <w:t>10%苄嘧磺隆</w:t>
            </w:r>
          </w:p>
        </w:tc>
        <w:tc>
          <w:tcPr>
            <w:tcW w:w="1348" w:type="dxa"/>
            <w:gridSpan w:val="2"/>
          </w:tcPr>
          <w:p w14:paraId="6C2D5D72">
            <w:pPr>
              <w:jc w:val="center"/>
              <w:rPr>
                <w:sz w:val="18"/>
                <w:szCs w:val="18"/>
              </w:rPr>
            </w:pPr>
            <w:r>
              <w:rPr>
                <w:sz w:val="18"/>
                <w:szCs w:val="18"/>
              </w:rPr>
              <w:t>30ml/667m</w:t>
            </w:r>
            <w:r>
              <w:rPr>
                <w:sz w:val="18"/>
                <w:szCs w:val="18"/>
                <w:vertAlign w:val="superscript"/>
              </w:rPr>
              <w:t>2</w:t>
            </w:r>
            <w:r>
              <w:rPr>
                <w:sz w:val="18"/>
                <w:szCs w:val="18"/>
              </w:rPr>
              <w:t xml:space="preserve">    100 ml/667m</w:t>
            </w:r>
            <w:r>
              <w:rPr>
                <w:sz w:val="18"/>
                <w:szCs w:val="18"/>
                <w:vertAlign w:val="superscript"/>
              </w:rPr>
              <w:t>2</w:t>
            </w:r>
          </w:p>
        </w:tc>
        <w:tc>
          <w:tcPr>
            <w:tcW w:w="1494" w:type="dxa"/>
          </w:tcPr>
          <w:p w14:paraId="58C6CB19">
            <w:pPr>
              <w:jc w:val="center"/>
              <w:rPr>
                <w:sz w:val="18"/>
                <w:szCs w:val="18"/>
              </w:rPr>
            </w:pPr>
            <w:r>
              <w:rPr>
                <w:sz w:val="18"/>
                <w:szCs w:val="18"/>
              </w:rPr>
              <w:t>兑水 50kg 喷 雾， 1d 后灌水 落干</w:t>
            </w:r>
          </w:p>
        </w:tc>
      </w:tr>
      <w:tr w14:paraId="0C0F86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7" w:hRule="atLeast"/>
        </w:trPr>
        <w:tc>
          <w:tcPr>
            <w:tcW w:w="1230" w:type="dxa"/>
          </w:tcPr>
          <w:p w14:paraId="7F529F77">
            <w:pPr>
              <w:jc w:val="center"/>
              <w:rPr>
                <w:sz w:val="18"/>
                <w:szCs w:val="18"/>
              </w:rPr>
            </w:pPr>
            <w:r>
              <w:rPr>
                <w:sz w:val="18"/>
                <w:szCs w:val="18"/>
              </w:rPr>
              <w:t>稻纵卷叶螟</w:t>
            </w:r>
          </w:p>
        </w:tc>
        <w:tc>
          <w:tcPr>
            <w:tcW w:w="1469" w:type="dxa"/>
          </w:tcPr>
          <w:p w14:paraId="7C8206C7">
            <w:pPr>
              <w:jc w:val="center"/>
              <w:rPr>
                <w:sz w:val="18"/>
                <w:szCs w:val="18"/>
              </w:rPr>
            </w:pPr>
            <w:r>
              <w:rPr>
                <w:sz w:val="18"/>
                <w:szCs w:val="18"/>
              </w:rPr>
              <w:t>卵 孵 高 峰 期 至 低 龄 幼 虫 高 峰 期</w:t>
            </w:r>
          </w:p>
        </w:tc>
        <w:tc>
          <w:tcPr>
            <w:tcW w:w="1977" w:type="dxa"/>
          </w:tcPr>
          <w:p w14:paraId="13F5E120">
            <w:pPr>
              <w:jc w:val="center"/>
              <w:rPr>
                <w:sz w:val="18"/>
                <w:szCs w:val="18"/>
              </w:rPr>
            </w:pPr>
            <w:r>
              <w:rPr>
                <w:sz w:val="18"/>
                <w:szCs w:val="18"/>
              </w:rPr>
              <w:t>四(2)代 100-200 粒、头/百穴五(3) 代和六(4)代 100- 1500 粒、头/百穴</w:t>
            </w:r>
          </w:p>
        </w:tc>
        <w:tc>
          <w:tcPr>
            <w:tcW w:w="1984" w:type="dxa"/>
          </w:tcPr>
          <w:p w14:paraId="65FA37AF">
            <w:pPr>
              <w:jc w:val="center"/>
              <w:rPr>
                <w:sz w:val="18"/>
                <w:szCs w:val="18"/>
              </w:rPr>
            </w:pPr>
            <w:r>
              <w:rPr>
                <w:sz w:val="18"/>
                <w:szCs w:val="18"/>
              </w:rPr>
              <w:t>20%氯虫苯甲酰胺悬浮 剂</w:t>
            </w:r>
          </w:p>
          <w:p w14:paraId="1DA5FF54">
            <w:pPr>
              <w:jc w:val="center"/>
              <w:rPr>
                <w:sz w:val="18"/>
                <w:szCs w:val="18"/>
              </w:rPr>
            </w:pPr>
            <w:r>
              <w:rPr>
                <w:sz w:val="18"/>
                <w:szCs w:val="18"/>
              </w:rPr>
              <w:t>40% 甲氧 ·茚虫威悬浮 剂</w:t>
            </w:r>
          </w:p>
        </w:tc>
        <w:tc>
          <w:tcPr>
            <w:tcW w:w="1348" w:type="dxa"/>
            <w:gridSpan w:val="2"/>
          </w:tcPr>
          <w:p w14:paraId="4D0375CE">
            <w:pPr>
              <w:jc w:val="center"/>
              <w:rPr>
                <w:sz w:val="18"/>
                <w:szCs w:val="18"/>
              </w:rPr>
            </w:pPr>
            <w:r>
              <w:rPr>
                <w:sz w:val="18"/>
                <w:szCs w:val="18"/>
              </w:rPr>
              <w:t>10ml/667m</w:t>
            </w:r>
            <w:r>
              <w:rPr>
                <w:sz w:val="18"/>
                <w:szCs w:val="18"/>
                <w:vertAlign w:val="superscript"/>
              </w:rPr>
              <w:t>2</w:t>
            </w:r>
            <w:r>
              <w:rPr>
                <w:sz w:val="18"/>
                <w:szCs w:val="18"/>
              </w:rPr>
              <w:t xml:space="preserve">      10～15ml/667m</w:t>
            </w:r>
            <w:r>
              <w:rPr>
                <w:sz w:val="18"/>
                <w:szCs w:val="18"/>
                <w:vertAlign w:val="superscript"/>
              </w:rPr>
              <w:t>2</w:t>
            </w:r>
          </w:p>
        </w:tc>
        <w:tc>
          <w:tcPr>
            <w:tcW w:w="1494" w:type="dxa"/>
          </w:tcPr>
          <w:p w14:paraId="64AF9145">
            <w:pPr>
              <w:jc w:val="center"/>
              <w:rPr>
                <w:sz w:val="18"/>
                <w:szCs w:val="18"/>
              </w:rPr>
            </w:pPr>
            <w:r>
              <w:rPr>
                <w:sz w:val="18"/>
                <w:szCs w:val="18"/>
              </w:rPr>
              <w:t>兑水 50kg 喷雾</w:t>
            </w:r>
          </w:p>
        </w:tc>
      </w:tr>
      <w:tr w14:paraId="6B7C3F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4" w:hRule="atLeast"/>
        </w:trPr>
        <w:tc>
          <w:tcPr>
            <w:tcW w:w="1230" w:type="dxa"/>
          </w:tcPr>
          <w:p w14:paraId="1A2FECD0">
            <w:pPr>
              <w:jc w:val="center"/>
              <w:rPr>
                <w:sz w:val="18"/>
                <w:szCs w:val="18"/>
              </w:rPr>
            </w:pPr>
            <w:r>
              <w:rPr>
                <w:sz w:val="18"/>
                <w:szCs w:val="18"/>
              </w:rPr>
              <w:t>二化螟</w:t>
            </w:r>
          </w:p>
        </w:tc>
        <w:tc>
          <w:tcPr>
            <w:tcW w:w="1469" w:type="dxa"/>
          </w:tcPr>
          <w:p w14:paraId="190042C0">
            <w:pPr>
              <w:jc w:val="center"/>
              <w:rPr>
                <w:sz w:val="18"/>
                <w:szCs w:val="18"/>
              </w:rPr>
            </w:pPr>
            <w:r>
              <w:rPr>
                <w:sz w:val="18"/>
                <w:szCs w:val="18"/>
              </w:rPr>
              <w:t>卵 孵 高 峰 期 至 低 龄 幼 虫 高 峰 期</w:t>
            </w:r>
          </w:p>
        </w:tc>
        <w:tc>
          <w:tcPr>
            <w:tcW w:w="1977" w:type="dxa"/>
          </w:tcPr>
          <w:p w14:paraId="6559F0A2">
            <w:pPr>
              <w:jc w:val="center"/>
              <w:rPr>
                <w:sz w:val="18"/>
                <w:szCs w:val="18"/>
              </w:rPr>
            </w:pPr>
            <w:r>
              <w:rPr>
                <w:sz w:val="18"/>
                <w:szCs w:val="18"/>
              </w:rPr>
              <w:t>卵 500 块/667m</w:t>
            </w:r>
            <w:r>
              <w:rPr>
                <w:sz w:val="18"/>
                <w:szCs w:val="18"/>
                <w:vertAlign w:val="superscript"/>
              </w:rPr>
              <w:t>2</w:t>
            </w:r>
          </w:p>
          <w:p w14:paraId="0CB0E041">
            <w:pPr>
              <w:jc w:val="center"/>
              <w:rPr>
                <w:sz w:val="18"/>
                <w:szCs w:val="18"/>
              </w:rPr>
            </w:pPr>
            <w:r>
              <w:rPr>
                <w:sz w:val="18"/>
                <w:szCs w:val="18"/>
              </w:rPr>
              <w:t>枯鞘株率 3%</w:t>
            </w:r>
          </w:p>
        </w:tc>
        <w:tc>
          <w:tcPr>
            <w:tcW w:w="1984" w:type="dxa"/>
          </w:tcPr>
          <w:p w14:paraId="22CAF707">
            <w:pPr>
              <w:jc w:val="center"/>
              <w:rPr>
                <w:sz w:val="18"/>
                <w:szCs w:val="18"/>
              </w:rPr>
            </w:pPr>
            <w:r>
              <w:rPr>
                <w:sz w:val="18"/>
                <w:szCs w:val="18"/>
              </w:rPr>
              <w:t>20%氯虫苯甲酰胺悬浮 剂</w:t>
            </w:r>
          </w:p>
        </w:tc>
        <w:tc>
          <w:tcPr>
            <w:tcW w:w="1348" w:type="dxa"/>
            <w:gridSpan w:val="2"/>
          </w:tcPr>
          <w:p w14:paraId="0F283482">
            <w:pPr>
              <w:jc w:val="center"/>
              <w:rPr>
                <w:sz w:val="18"/>
                <w:szCs w:val="18"/>
              </w:rPr>
            </w:pPr>
            <w:r>
              <w:rPr>
                <w:sz w:val="18"/>
                <w:szCs w:val="18"/>
              </w:rPr>
              <w:t>10ml/667m</w:t>
            </w:r>
            <w:r>
              <w:rPr>
                <w:sz w:val="18"/>
                <w:szCs w:val="18"/>
                <w:vertAlign w:val="superscript"/>
              </w:rPr>
              <w:t>2</w:t>
            </w:r>
          </w:p>
        </w:tc>
        <w:tc>
          <w:tcPr>
            <w:tcW w:w="1494" w:type="dxa"/>
          </w:tcPr>
          <w:p w14:paraId="250338CB">
            <w:pPr>
              <w:jc w:val="center"/>
              <w:rPr>
                <w:sz w:val="18"/>
                <w:szCs w:val="18"/>
              </w:rPr>
            </w:pPr>
            <w:r>
              <w:rPr>
                <w:sz w:val="18"/>
                <w:szCs w:val="18"/>
              </w:rPr>
              <w:t>兑水 50kg 喷雾</w:t>
            </w:r>
          </w:p>
        </w:tc>
      </w:tr>
      <w:tr w14:paraId="2A86C1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0" w:hRule="atLeast"/>
        </w:trPr>
        <w:tc>
          <w:tcPr>
            <w:tcW w:w="1230" w:type="dxa"/>
          </w:tcPr>
          <w:p w14:paraId="49713966">
            <w:pPr>
              <w:jc w:val="center"/>
              <w:rPr>
                <w:sz w:val="18"/>
                <w:szCs w:val="18"/>
              </w:rPr>
            </w:pPr>
            <w:r>
              <w:rPr>
                <w:sz w:val="18"/>
                <w:szCs w:val="18"/>
              </w:rPr>
              <w:t>灰飞虱</w:t>
            </w:r>
          </w:p>
        </w:tc>
        <w:tc>
          <w:tcPr>
            <w:tcW w:w="1469" w:type="dxa"/>
          </w:tcPr>
          <w:p w14:paraId="3402B772">
            <w:pPr>
              <w:jc w:val="center"/>
              <w:rPr>
                <w:sz w:val="18"/>
                <w:szCs w:val="18"/>
              </w:rPr>
            </w:pPr>
            <w:r>
              <w:rPr>
                <w:sz w:val="18"/>
                <w:szCs w:val="18"/>
              </w:rPr>
              <w:t>一 代 成 虫 迁 入 高峰期； 二代若 虫发生盛期</w:t>
            </w:r>
          </w:p>
        </w:tc>
        <w:tc>
          <w:tcPr>
            <w:tcW w:w="1977" w:type="dxa"/>
          </w:tcPr>
          <w:p w14:paraId="2FDDE059">
            <w:pPr>
              <w:jc w:val="center"/>
              <w:rPr>
                <w:sz w:val="18"/>
                <w:szCs w:val="18"/>
              </w:rPr>
            </w:pPr>
            <w:r>
              <w:rPr>
                <w:sz w:val="18"/>
                <w:szCs w:val="18"/>
              </w:rPr>
              <w:t>一代带毒虫 1～2 万头 /667m2 ；二代 12～15 头/百穴</w:t>
            </w:r>
          </w:p>
        </w:tc>
        <w:tc>
          <w:tcPr>
            <w:tcW w:w="1984" w:type="dxa"/>
          </w:tcPr>
          <w:p w14:paraId="5C5AA3DD">
            <w:pPr>
              <w:jc w:val="center"/>
              <w:rPr>
                <w:sz w:val="18"/>
                <w:szCs w:val="18"/>
              </w:rPr>
            </w:pPr>
            <w:r>
              <w:rPr>
                <w:sz w:val="18"/>
                <w:szCs w:val="18"/>
              </w:rPr>
              <w:t>25%吡蚜酮可湿性粉剂 20%烯啶虫胺水剂</w:t>
            </w:r>
          </w:p>
        </w:tc>
        <w:tc>
          <w:tcPr>
            <w:tcW w:w="1348" w:type="dxa"/>
            <w:gridSpan w:val="2"/>
          </w:tcPr>
          <w:p w14:paraId="1A863765">
            <w:pPr>
              <w:jc w:val="center"/>
              <w:rPr>
                <w:sz w:val="18"/>
                <w:szCs w:val="18"/>
              </w:rPr>
            </w:pPr>
            <w:r>
              <w:rPr>
                <w:sz w:val="18"/>
                <w:szCs w:val="18"/>
              </w:rPr>
              <w:t>20g/667m</w:t>
            </w:r>
            <w:r>
              <w:rPr>
                <w:sz w:val="18"/>
                <w:szCs w:val="18"/>
                <w:vertAlign w:val="superscript"/>
              </w:rPr>
              <w:t>2</w:t>
            </w:r>
          </w:p>
          <w:p w14:paraId="2C4001C0">
            <w:pPr>
              <w:jc w:val="center"/>
              <w:rPr>
                <w:sz w:val="18"/>
                <w:szCs w:val="18"/>
              </w:rPr>
            </w:pPr>
            <w:r>
              <w:rPr>
                <w:sz w:val="18"/>
                <w:szCs w:val="18"/>
              </w:rPr>
              <w:t>20ml/667m</w:t>
            </w:r>
            <w:r>
              <w:rPr>
                <w:sz w:val="18"/>
                <w:szCs w:val="18"/>
                <w:vertAlign w:val="superscript"/>
              </w:rPr>
              <w:t>2</w:t>
            </w:r>
          </w:p>
        </w:tc>
        <w:tc>
          <w:tcPr>
            <w:tcW w:w="1494" w:type="dxa"/>
          </w:tcPr>
          <w:p w14:paraId="6FE4F9BE">
            <w:pPr>
              <w:jc w:val="center"/>
              <w:rPr>
                <w:sz w:val="18"/>
                <w:szCs w:val="18"/>
              </w:rPr>
            </w:pPr>
            <w:r>
              <w:rPr>
                <w:sz w:val="18"/>
                <w:szCs w:val="18"/>
              </w:rPr>
              <w:t>兑水 50kg 喷雾</w:t>
            </w:r>
          </w:p>
        </w:tc>
      </w:tr>
      <w:tr w14:paraId="1D3286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1230" w:type="dxa"/>
          </w:tcPr>
          <w:p w14:paraId="56A04F99">
            <w:pPr>
              <w:jc w:val="center"/>
              <w:rPr>
                <w:sz w:val="18"/>
                <w:szCs w:val="18"/>
              </w:rPr>
            </w:pPr>
            <w:r>
              <w:rPr>
                <w:sz w:val="18"/>
                <w:szCs w:val="18"/>
              </w:rPr>
              <w:t>褐飞虱</w:t>
            </w:r>
          </w:p>
        </w:tc>
        <w:tc>
          <w:tcPr>
            <w:tcW w:w="1469" w:type="dxa"/>
          </w:tcPr>
          <w:p w14:paraId="76241FC9">
            <w:pPr>
              <w:jc w:val="center"/>
              <w:rPr>
                <w:sz w:val="18"/>
                <w:szCs w:val="18"/>
              </w:rPr>
            </w:pPr>
            <w:r>
              <w:rPr>
                <w:sz w:val="18"/>
                <w:szCs w:val="18"/>
              </w:rPr>
              <w:t>卵 孵 高 峰 期 至 低 龄 若 虫 高 峰 期</w:t>
            </w:r>
          </w:p>
        </w:tc>
        <w:tc>
          <w:tcPr>
            <w:tcW w:w="1977" w:type="dxa"/>
          </w:tcPr>
          <w:p w14:paraId="1321B996">
            <w:pPr>
              <w:jc w:val="center"/>
              <w:rPr>
                <w:sz w:val="18"/>
                <w:szCs w:val="18"/>
              </w:rPr>
            </w:pPr>
            <w:r>
              <w:rPr>
                <w:sz w:val="18"/>
                <w:szCs w:val="18"/>
              </w:rPr>
              <w:t>抽穗期 5 头/穴</w:t>
            </w:r>
          </w:p>
          <w:p w14:paraId="21176CC9">
            <w:pPr>
              <w:jc w:val="center"/>
              <w:rPr>
                <w:sz w:val="18"/>
                <w:szCs w:val="18"/>
              </w:rPr>
            </w:pPr>
            <w:r>
              <w:rPr>
                <w:sz w:val="18"/>
                <w:szCs w:val="18"/>
              </w:rPr>
              <w:t>灌浆期 8～10 头/穴 蜡熟期 12～20 头/穴</w:t>
            </w:r>
          </w:p>
        </w:tc>
        <w:tc>
          <w:tcPr>
            <w:tcW w:w="1984" w:type="dxa"/>
          </w:tcPr>
          <w:p w14:paraId="073809D5">
            <w:pPr>
              <w:jc w:val="center"/>
              <w:rPr>
                <w:sz w:val="18"/>
                <w:szCs w:val="18"/>
              </w:rPr>
            </w:pPr>
            <w:r>
              <w:rPr>
                <w:sz w:val="18"/>
                <w:szCs w:val="18"/>
              </w:rPr>
              <w:t>25%吡蚜酮可湿性粉剂 20%烯啶虫胺水剂</w:t>
            </w:r>
          </w:p>
        </w:tc>
        <w:tc>
          <w:tcPr>
            <w:tcW w:w="1348" w:type="dxa"/>
            <w:gridSpan w:val="2"/>
          </w:tcPr>
          <w:p w14:paraId="15499058">
            <w:pPr>
              <w:jc w:val="center"/>
              <w:rPr>
                <w:sz w:val="18"/>
                <w:szCs w:val="18"/>
              </w:rPr>
            </w:pPr>
            <w:r>
              <w:rPr>
                <w:sz w:val="18"/>
                <w:szCs w:val="18"/>
              </w:rPr>
              <w:t>20g/667m</w:t>
            </w:r>
            <w:r>
              <w:rPr>
                <w:sz w:val="18"/>
                <w:szCs w:val="18"/>
                <w:vertAlign w:val="superscript"/>
              </w:rPr>
              <w:t>2</w:t>
            </w:r>
          </w:p>
          <w:p w14:paraId="530B0CE2">
            <w:pPr>
              <w:jc w:val="center"/>
              <w:rPr>
                <w:sz w:val="18"/>
                <w:szCs w:val="18"/>
              </w:rPr>
            </w:pPr>
            <w:r>
              <w:rPr>
                <w:sz w:val="18"/>
                <w:szCs w:val="18"/>
              </w:rPr>
              <w:t>20ml/667m</w:t>
            </w:r>
            <w:r>
              <w:rPr>
                <w:sz w:val="18"/>
                <w:szCs w:val="18"/>
                <w:vertAlign w:val="superscript"/>
              </w:rPr>
              <w:t>2</w:t>
            </w:r>
          </w:p>
        </w:tc>
        <w:tc>
          <w:tcPr>
            <w:tcW w:w="1494" w:type="dxa"/>
          </w:tcPr>
          <w:p w14:paraId="06A54E6E">
            <w:pPr>
              <w:jc w:val="center"/>
              <w:rPr>
                <w:sz w:val="18"/>
                <w:szCs w:val="18"/>
              </w:rPr>
            </w:pPr>
            <w:r>
              <w:rPr>
                <w:sz w:val="18"/>
                <w:szCs w:val="18"/>
              </w:rPr>
              <w:t>兑水 50kg 喷雾</w:t>
            </w:r>
          </w:p>
        </w:tc>
      </w:tr>
      <w:tr w14:paraId="0941E7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trPr>
        <w:tc>
          <w:tcPr>
            <w:tcW w:w="1230" w:type="dxa"/>
          </w:tcPr>
          <w:p w14:paraId="2C93E579">
            <w:pPr>
              <w:jc w:val="center"/>
              <w:rPr>
                <w:sz w:val="18"/>
                <w:szCs w:val="18"/>
              </w:rPr>
            </w:pPr>
            <w:r>
              <w:rPr>
                <w:sz w:val="18"/>
                <w:szCs w:val="18"/>
              </w:rPr>
              <w:t>纹枯病</w:t>
            </w:r>
          </w:p>
        </w:tc>
        <w:tc>
          <w:tcPr>
            <w:tcW w:w="1469" w:type="dxa"/>
          </w:tcPr>
          <w:p w14:paraId="1101AD79">
            <w:pPr>
              <w:jc w:val="center"/>
              <w:rPr>
                <w:sz w:val="18"/>
                <w:szCs w:val="18"/>
              </w:rPr>
            </w:pPr>
            <w:r>
              <w:rPr>
                <w:sz w:val="18"/>
                <w:szCs w:val="18"/>
              </w:rPr>
              <w:t>分 蘖 末 期 至 孕 穗抽穗期</w:t>
            </w:r>
          </w:p>
        </w:tc>
        <w:tc>
          <w:tcPr>
            <w:tcW w:w="1977" w:type="dxa"/>
          </w:tcPr>
          <w:p w14:paraId="476EB8BD">
            <w:pPr>
              <w:jc w:val="center"/>
              <w:rPr>
                <w:sz w:val="18"/>
                <w:szCs w:val="18"/>
              </w:rPr>
            </w:pPr>
            <w:r>
              <w:rPr>
                <w:sz w:val="18"/>
                <w:szCs w:val="18"/>
              </w:rPr>
              <w:t>病穴率 20%</w:t>
            </w:r>
          </w:p>
        </w:tc>
        <w:tc>
          <w:tcPr>
            <w:tcW w:w="1984" w:type="dxa"/>
          </w:tcPr>
          <w:p w14:paraId="2A443CB4">
            <w:pPr>
              <w:jc w:val="center"/>
              <w:rPr>
                <w:sz w:val="18"/>
                <w:szCs w:val="18"/>
              </w:rPr>
            </w:pPr>
            <w:r>
              <w:rPr>
                <w:sz w:val="18"/>
                <w:szCs w:val="18"/>
              </w:rPr>
              <w:t>5%井冈霉素水剂   24%噻呋酰胺悬浮剂</w:t>
            </w:r>
          </w:p>
        </w:tc>
        <w:tc>
          <w:tcPr>
            <w:tcW w:w="1348" w:type="dxa"/>
            <w:gridSpan w:val="2"/>
          </w:tcPr>
          <w:p w14:paraId="6C95B86E">
            <w:pPr>
              <w:jc w:val="center"/>
              <w:rPr>
                <w:sz w:val="18"/>
                <w:szCs w:val="18"/>
              </w:rPr>
            </w:pPr>
            <w:r>
              <w:rPr>
                <w:sz w:val="18"/>
                <w:szCs w:val="18"/>
              </w:rPr>
              <w:t>200ml/667m</w:t>
            </w:r>
            <w:r>
              <w:rPr>
                <w:sz w:val="18"/>
                <w:szCs w:val="18"/>
                <w:vertAlign w:val="superscript"/>
              </w:rPr>
              <w:t>2</w:t>
            </w:r>
          </w:p>
        </w:tc>
        <w:tc>
          <w:tcPr>
            <w:tcW w:w="1494" w:type="dxa"/>
          </w:tcPr>
          <w:p w14:paraId="449933FF">
            <w:pPr>
              <w:jc w:val="center"/>
              <w:rPr>
                <w:sz w:val="18"/>
                <w:szCs w:val="18"/>
              </w:rPr>
            </w:pPr>
            <w:r>
              <w:rPr>
                <w:sz w:val="18"/>
                <w:szCs w:val="18"/>
              </w:rPr>
              <w:t>兑水 50kg 喷雾</w:t>
            </w:r>
          </w:p>
        </w:tc>
      </w:tr>
      <w:tr w14:paraId="1A220F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230" w:type="dxa"/>
          </w:tcPr>
          <w:p w14:paraId="00403930">
            <w:pPr>
              <w:jc w:val="center"/>
              <w:rPr>
                <w:sz w:val="18"/>
                <w:szCs w:val="18"/>
              </w:rPr>
            </w:pPr>
            <w:r>
              <w:rPr>
                <w:sz w:val="18"/>
                <w:szCs w:val="18"/>
              </w:rPr>
              <w:t>稻瘟病</w:t>
            </w:r>
          </w:p>
        </w:tc>
        <w:tc>
          <w:tcPr>
            <w:tcW w:w="1469" w:type="dxa"/>
          </w:tcPr>
          <w:p w14:paraId="4849094A">
            <w:pPr>
              <w:jc w:val="center"/>
              <w:rPr>
                <w:sz w:val="18"/>
                <w:szCs w:val="18"/>
              </w:rPr>
            </w:pPr>
            <w:r>
              <w:rPr>
                <w:sz w:val="18"/>
                <w:szCs w:val="18"/>
              </w:rPr>
              <w:t>苗期、破口期</w:t>
            </w:r>
          </w:p>
        </w:tc>
        <w:tc>
          <w:tcPr>
            <w:tcW w:w="1977" w:type="dxa"/>
          </w:tcPr>
          <w:p w14:paraId="100FCB6E">
            <w:pPr>
              <w:jc w:val="center"/>
              <w:rPr>
                <w:sz w:val="18"/>
                <w:szCs w:val="18"/>
              </w:rPr>
            </w:pPr>
          </w:p>
        </w:tc>
        <w:tc>
          <w:tcPr>
            <w:tcW w:w="1984" w:type="dxa"/>
          </w:tcPr>
          <w:p w14:paraId="36357042">
            <w:pPr>
              <w:jc w:val="center"/>
              <w:rPr>
                <w:sz w:val="18"/>
                <w:szCs w:val="18"/>
              </w:rPr>
            </w:pPr>
            <w:r>
              <w:rPr>
                <w:sz w:val="18"/>
                <w:szCs w:val="18"/>
              </w:rPr>
              <w:t>75%三环唑</w:t>
            </w:r>
          </w:p>
        </w:tc>
        <w:tc>
          <w:tcPr>
            <w:tcW w:w="1348" w:type="dxa"/>
            <w:gridSpan w:val="2"/>
          </w:tcPr>
          <w:p w14:paraId="66AB6418">
            <w:pPr>
              <w:jc w:val="center"/>
              <w:rPr>
                <w:sz w:val="18"/>
                <w:szCs w:val="18"/>
              </w:rPr>
            </w:pPr>
            <w:r>
              <w:rPr>
                <w:sz w:val="18"/>
                <w:szCs w:val="18"/>
              </w:rPr>
              <w:t>40g/667m</w:t>
            </w:r>
            <w:r>
              <w:rPr>
                <w:sz w:val="18"/>
                <w:szCs w:val="18"/>
                <w:vertAlign w:val="superscript"/>
              </w:rPr>
              <w:t>2</w:t>
            </w:r>
          </w:p>
        </w:tc>
        <w:tc>
          <w:tcPr>
            <w:tcW w:w="1494" w:type="dxa"/>
          </w:tcPr>
          <w:p w14:paraId="196856C1">
            <w:pPr>
              <w:jc w:val="center"/>
              <w:rPr>
                <w:sz w:val="18"/>
                <w:szCs w:val="18"/>
              </w:rPr>
            </w:pPr>
            <w:r>
              <w:rPr>
                <w:sz w:val="18"/>
                <w:szCs w:val="18"/>
              </w:rPr>
              <w:t>兑水 50kg 喷雾</w:t>
            </w:r>
          </w:p>
        </w:tc>
      </w:tr>
      <w:tr w14:paraId="26E257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1230" w:type="dxa"/>
          </w:tcPr>
          <w:p w14:paraId="2F3DCF16">
            <w:pPr>
              <w:jc w:val="center"/>
              <w:rPr>
                <w:sz w:val="18"/>
                <w:szCs w:val="18"/>
              </w:rPr>
            </w:pPr>
            <w:r>
              <w:rPr>
                <w:sz w:val="18"/>
                <w:szCs w:val="18"/>
              </w:rPr>
              <w:t>稻曲病</w:t>
            </w:r>
          </w:p>
        </w:tc>
        <w:tc>
          <w:tcPr>
            <w:tcW w:w="1469" w:type="dxa"/>
          </w:tcPr>
          <w:p w14:paraId="48C94E74">
            <w:pPr>
              <w:jc w:val="center"/>
              <w:rPr>
                <w:sz w:val="18"/>
                <w:szCs w:val="18"/>
              </w:rPr>
            </w:pPr>
            <w:r>
              <w:rPr>
                <w:sz w:val="18"/>
                <w:szCs w:val="18"/>
              </w:rPr>
              <w:t>破口前 5～7 天</w:t>
            </w:r>
          </w:p>
        </w:tc>
        <w:tc>
          <w:tcPr>
            <w:tcW w:w="1977" w:type="dxa"/>
          </w:tcPr>
          <w:p w14:paraId="3FE27CE2">
            <w:pPr>
              <w:jc w:val="center"/>
              <w:rPr>
                <w:sz w:val="18"/>
                <w:szCs w:val="18"/>
              </w:rPr>
            </w:pPr>
          </w:p>
        </w:tc>
        <w:tc>
          <w:tcPr>
            <w:tcW w:w="1984" w:type="dxa"/>
          </w:tcPr>
          <w:p w14:paraId="5809A23E">
            <w:pPr>
              <w:jc w:val="center"/>
              <w:rPr>
                <w:sz w:val="18"/>
                <w:szCs w:val="18"/>
              </w:rPr>
            </w:pPr>
            <w:r>
              <w:rPr>
                <w:sz w:val="18"/>
                <w:szCs w:val="18"/>
              </w:rPr>
              <w:t>75%肟菌 · 戊唑醇水分 散粒剂</w:t>
            </w:r>
          </w:p>
        </w:tc>
        <w:tc>
          <w:tcPr>
            <w:tcW w:w="1348" w:type="dxa"/>
            <w:gridSpan w:val="2"/>
          </w:tcPr>
          <w:p w14:paraId="71FA5A9B">
            <w:pPr>
              <w:jc w:val="center"/>
              <w:rPr>
                <w:sz w:val="18"/>
                <w:szCs w:val="18"/>
              </w:rPr>
            </w:pPr>
            <w:r>
              <w:rPr>
                <w:sz w:val="18"/>
                <w:szCs w:val="18"/>
              </w:rPr>
              <w:t>20g/667m</w:t>
            </w:r>
            <w:r>
              <w:rPr>
                <w:sz w:val="18"/>
                <w:szCs w:val="18"/>
                <w:vertAlign w:val="superscript"/>
              </w:rPr>
              <w:t>2</w:t>
            </w:r>
          </w:p>
        </w:tc>
        <w:tc>
          <w:tcPr>
            <w:tcW w:w="1494" w:type="dxa"/>
          </w:tcPr>
          <w:p w14:paraId="7C7532FC">
            <w:pPr>
              <w:jc w:val="center"/>
              <w:rPr>
                <w:sz w:val="18"/>
                <w:szCs w:val="18"/>
              </w:rPr>
            </w:pPr>
            <w:r>
              <w:rPr>
                <w:sz w:val="18"/>
                <w:szCs w:val="18"/>
              </w:rPr>
              <w:t>兑水 50kg 喷雾</w:t>
            </w:r>
          </w:p>
        </w:tc>
      </w:tr>
      <w:tr w14:paraId="2D4404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1230" w:type="dxa"/>
          </w:tcPr>
          <w:p w14:paraId="197B1307">
            <w:pPr>
              <w:jc w:val="center"/>
              <w:rPr>
                <w:sz w:val="18"/>
                <w:szCs w:val="18"/>
              </w:rPr>
            </w:pPr>
            <w:r>
              <w:rPr>
                <w:rFonts w:hint="eastAsia"/>
                <w:sz w:val="18"/>
                <w:szCs w:val="18"/>
              </w:rPr>
              <w:t>白叶枯病</w:t>
            </w:r>
          </w:p>
        </w:tc>
        <w:tc>
          <w:tcPr>
            <w:tcW w:w="1469" w:type="dxa"/>
          </w:tcPr>
          <w:p w14:paraId="3652C4AC">
            <w:pPr>
              <w:jc w:val="center"/>
              <w:rPr>
                <w:sz w:val="18"/>
                <w:szCs w:val="18"/>
              </w:rPr>
            </w:pPr>
          </w:p>
        </w:tc>
        <w:tc>
          <w:tcPr>
            <w:tcW w:w="1977" w:type="dxa"/>
          </w:tcPr>
          <w:p w14:paraId="49988846">
            <w:pPr>
              <w:jc w:val="center"/>
              <w:rPr>
                <w:sz w:val="18"/>
                <w:szCs w:val="18"/>
              </w:rPr>
            </w:pPr>
            <w:r>
              <w:rPr>
                <w:rFonts w:hint="eastAsia"/>
                <w:sz w:val="18"/>
                <w:szCs w:val="18"/>
              </w:rPr>
              <w:t>见发病中心</w:t>
            </w:r>
          </w:p>
        </w:tc>
        <w:tc>
          <w:tcPr>
            <w:tcW w:w="1984" w:type="dxa"/>
          </w:tcPr>
          <w:p w14:paraId="5C8EC86D">
            <w:pPr>
              <w:jc w:val="center"/>
              <w:rPr>
                <w:sz w:val="18"/>
                <w:szCs w:val="18"/>
              </w:rPr>
            </w:pPr>
            <w:r>
              <w:rPr>
                <w:rFonts w:hint="eastAsia"/>
                <w:sz w:val="18"/>
                <w:szCs w:val="18"/>
              </w:rPr>
              <w:t>50%氯溴异氰尿酸</w:t>
            </w:r>
          </w:p>
        </w:tc>
        <w:tc>
          <w:tcPr>
            <w:tcW w:w="1348" w:type="dxa"/>
            <w:gridSpan w:val="2"/>
          </w:tcPr>
          <w:p w14:paraId="700CD9BB">
            <w:pPr>
              <w:jc w:val="center"/>
              <w:rPr>
                <w:sz w:val="18"/>
                <w:szCs w:val="18"/>
              </w:rPr>
            </w:pPr>
            <w:r>
              <w:rPr>
                <w:sz w:val="18"/>
                <w:szCs w:val="18"/>
              </w:rPr>
              <w:t>60g/667m</w:t>
            </w:r>
            <w:r>
              <w:rPr>
                <w:sz w:val="18"/>
                <w:szCs w:val="18"/>
                <w:vertAlign w:val="superscript"/>
              </w:rPr>
              <w:t>2</w:t>
            </w:r>
          </w:p>
        </w:tc>
        <w:tc>
          <w:tcPr>
            <w:tcW w:w="1494" w:type="dxa"/>
          </w:tcPr>
          <w:p w14:paraId="22EF662B">
            <w:pPr>
              <w:jc w:val="center"/>
              <w:rPr>
                <w:sz w:val="18"/>
                <w:szCs w:val="18"/>
              </w:rPr>
            </w:pPr>
            <w:r>
              <w:rPr>
                <w:sz w:val="18"/>
                <w:szCs w:val="18"/>
              </w:rPr>
              <w:t>兑水 50kg 喷雾</w:t>
            </w:r>
          </w:p>
        </w:tc>
      </w:tr>
    </w:tbl>
    <w:p w14:paraId="17D7E078">
      <w:pPr>
        <w:rPr>
          <w:rFonts w:hAnsi="宋体" w:cs="宋体"/>
          <w:szCs w:val="21"/>
        </w:rPr>
      </w:pPr>
      <w:r>
        <w:pict>
          <v:line id="直线 9" o:spid="_x0000_s1027" o:spt="20" style="position:absolute;left:0pt;margin-left:145.75pt;margin-top:44pt;height:0.05pt;width:117.75pt;z-index:251664384;mso-width-relative:page;mso-height-relative:page;" coordsize="21600,21600" o:gfxdata="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NEcTYXX&#10;AAAACQEAAA8AAAAAAAAAAQAgAAAAIgAAAGRycy9kb3ducmV2LnhtbFBLAQIUABQAAAAIAIdO4kA6&#10;ZUTf6AEAAN0DAAAOAAAAAAAAAAEAIAAAACYBAABkcnMvZTJvRG9jLnhtbFBLBQYAAAAABgAGAFkB&#10;AACABQAAAAA=&#10;">
            <v:path arrowok="t"/>
            <v:fill focussize="0,0"/>
            <v:stroke/>
            <v:imagedata o:title=""/>
            <o:lock v:ext="edit"/>
          </v:line>
        </w:pict>
      </w:r>
    </w:p>
    <w:sectPr>
      <w:pgSz w:w="11906" w:h="16838"/>
      <w:pgMar w:top="567" w:right="1134" w:bottom="1134" w:left="1418" w:header="1418" w:footer="1134" w:gutter="0"/>
      <w:pgNumType w:start="1"/>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7BCB2">
    <w:pPr>
      <w:pStyle w:val="52"/>
    </w:pPr>
    <w:r>
      <w:fldChar w:fldCharType="begin"/>
    </w:r>
    <w:r>
      <w:instrText xml:space="preserve"> PAGE  \* MERGEFORMAT </w:instrText>
    </w:r>
    <w:r>
      <w:fldChar w:fldCharType="separate"/>
    </w:r>
    <w:r>
      <w:t>I</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456BF">
    <w:pPr>
      <w:pStyle w:val="88"/>
    </w:pPr>
    <w:r>
      <w:rPr>
        <w:rFonts w:hint="eastAsia"/>
      </w:rPr>
      <w:t>DB32</w:t>
    </w:r>
    <w:r>
      <w:t>07/T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5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22"/>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90"/>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118"/>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103"/>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7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6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60"/>
      <w:suff w:val="nothing"/>
      <w:lvlText w:val="%1.%2.%3.%4.%5　"/>
      <w:lvlJc w:val="left"/>
      <w:pPr>
        <w:ind w:left="0" w:firstLine="0"/>
      </w:pPr>
      <w:rPr>
        <w:rFonts w:hint="eastAsia" w:ascii="黑体" w:hAnsi="Times New Roman" w:eastAsia="黑体"/>
        <w:b w:val="0"/>
        <w:i w:val="0"/>
        <w:sz w:val="21"/>
      </w:rPr>
    </w:lvl>
    <w:lvl w:ilvl="5" w:tentative="0">
      <w:start w:val="1"/>
      <w:numFmt w:val="decimal"/>
      <w:pStyle w:val="5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0">
      <w:start w:val="1"/>
      <w:numFmt w:val="upperLetter"/>
      <w:pStyle w:val="136"/>
      <w:suff w:val="space"/>
      <w:lvlText w:val="%1"/>
      <w:lvlJc w:val="left"/>
      <w:pPr>
        <w:ind w:left="623" w:hanging="425"/>
      </w:pPr>
      <w:rPr>
        <w:rFonts w:hint="eastAsia"/>
      </w:rPr>
    </w:lvl>
    <w:lvl w:ilvl="1" w:tentative="0">
      <w:start w:val="1"/>
      <w:numFmt w:val="decimal"/>
      <w:pStyle w:val="104"/>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none"/>
      <w:pStyle w:val="64"/>
      <w:suff w:val="nothing"/>
      <w:lvlText w:val="%1——"/>
      <w:lvlJc w:val="left"/>
      <w:pPr>
        <w:ind w:left="833" w:hanging="408"/>
      </w:pPr>
      <w:rPr>
        <w:rFonts w:hint="eastAsia"/>
      </w:rPr>
    </w:lvl>
    <w:lvl w:ilvl="1" w:tentative="0">
      <w:start w:val="1"/>
      <w:numFmt w:val="bullet"/>
      <w:pStyle w:val="110"/>
      <w:lvlText w:val=""/>
      <w:lvlJc w:val="left"/>
      <w:pPr>
        <w:tabs>
          <w:tab w:val="left" w:pos="760"/>
        </w:tabs>
        <w:ind w:left="1264" w:hanging="413"/>
      </w:pPr>
      <w:rPr>
        <w:rFonts w:hint="default" w:ascii="Symbol" w:hAnsi="Symbol"/>
        <w:color w:val="auto"/>
      </w:rPr>
    </w:lvl>
    <w:lvl w:ilvl="2" w:tentative="0">
      <w:start w:val="1"/>
      <w:numFmt w:val="bullet"/>
      <w:pStyle w:val="65"/>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0">
      <w:start w:val="1"/>
      <w:numFmt w:val="decimal"/>
      <w:pStyle w:val="34"/>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9">
    <w:nsid w:val="4B733A5F"/>
    <w:multiLevelType w:val="multilevel"/>
    <w:tmpl w:val="4B733A5F"/>
    <w:lvl w:ilvl="0" w:tentative="0">
      <w:start w:val="1"/>
      <w:numFmt w:val="decimal"/>
      <w:pStyle w:val="72"/>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0">
    <w:nsid w:val="4C216EF7"/>
    <w:multiLevelType w:val="multilevel"/>
    <w:tmpl w:val="4C216EF7"/>
    <w:lvl w:ilvl="0" w:tentative="0">
      <w:start w:val="1"/>
      <w:numFmt w:val="decimal"/>
      <w:pStyle w:val="62"/>
      <w:lvlText w:val="%1."/>
      <w:lvlJc w:val="left"/>
      <w:pPr>
        <w:ind w:left="432" w:hanging="432"/>
      </w:pPr>
      <w:rPr>
        <w:rFonts w:hint="default"/>
      </w:rPr>
    </w:lvl>
    <w:lvl w:ilvl="1" w:tentative="0">
      <w:start w:val="1"/>
      <w:numFmt w:val="decimal"/>
      <w:pStyle w:val="3"/>
      <w:lvlText w:val="%1.%2."/>
      <w:lvlJc w:val="left"/>
      <w:pPr>
        <w:ind w:left="575" w:hanging="575"/>
      </w:pPr>
      <w:rPr>
        <w:rFonts w:hint="default" w:ascii="宋体" w:hAnsi="宋体" w:eastAsia="宋体" w:cs="宋体"/>
      </w:rPr>
    </w:lvl>
    <w:lvl w:ilvl="2" w:tentative="0">
      <w:start w:val="1"/>
      <w:numFmt w:val="decimal"/>
      <w:pStyle w:val="4"/>
      <w:lvlText w:val="%1.%2.%3."/>
      <w:lvlJc w:val="left"/>
      <w:pPr>
        <w:ind w:left="720" w:hanging="720"/>
      </w:pPr>
      <w:rPr>
        <w:rFonts w:hint="default" w:ascii="宋体" w:hAnsi="宋体" w:eastAsia="宋体" w:cs="宋体"/>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1">
    <w:nsid w:val="557C2AF5"/>
    <w:multiLevelType w:val="multilevel"/>
    <w:tmpl w:val="557C2AF5"/>
    <w:lvl w:ilvl="0" w:tentative="0">
      <w:start w:val="1"/>
      <w:numFmt w:val="decimal"/>
      <w:pStyle w:val="95"/>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60B55DC2"/>
    <w:multiLevelType w:val="multilevel"/>
    <w:tmpl w:val="60B55DC2"/>
    <w:lvl w:ilvl="0" w:tentative="0">
      <w:start w:val="1"/>
      <w:numFmt w:val="upperLetter"/>
      <w:pStyle w:val="135"/>
      <w:lvlText w:val="%1"/>
      <w:lvlJc w:val="left"/>
      <w:pPr>
        <w:tabs>
          <w:tab w:val="left" w:pos="0"/>
        </w:tabs>
        <w:ind w:left="0" w:hanging="425"/>
      </w:pPr>
      <w:rPr>
        <w:rFonts w:hint="eastAsia"/>
      </w:rPr>
    </w:lvl>
    <w:lvl w:ilvl="1" w:tentative="0">
      <w:start w:val="1"/>
      <w:numFmt w:val="decimal"/>
      <w:pStyle w:val="133"/>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3">
    <w:nsid w:val="646260FA"/>
    <w:multiLevelType w:val="multilevel"/>
    <w:tmpl w:val="646260FA"/>
    <w:lvl w:ilvl="0" w:tentative="0">
      <w:start w:val="1"/>
      <w:numFmt w:val="decimal"/>
      <w:pStyle w:val="9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57D3FBC"/>
    <w:multiLevelType w:val="multilevel"/>
    <w:tmpl w:val="657D3FBC"/>
    <w:lvl w:ilvl="0" w:tentative="0">
      <w:start w:val="1"/>
      <w:numFmt w:val="upperLetter"/>
      <w:pStyle w:val="151"/>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9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6"/>
      <w:suff w:val="nothing"/>
      <w:lvlText w:val="%1.%2.%3　"/>
      <w:lvlJc w:val="left"/>
      <w:pPr>
        <w:ind w:left="0" w:firstLine="0"/>
      </w:pPr>
      <w:rPr>
        <w:rFonts w:hint="eastAsia" w:ascii="黑体" w:hAnsi="Times New Roman" w:eastAsia="黑体"/>
        <w:b w:val="0"/>
        <w:i w:val="0"/>
        <w:sz w:val="21"/>
      </w:rPr>
    </w:lvl>
    <w:lvl w:ilvl="3" w:tentative="0">
      <w:start w:val="1"/>
      <w:numFmt w:val="decimal"/>
      <w:pStyle w:val="83"/>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pStyle w:val="102"/>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D6C07CD"/>
    <w:multiLevelType w:val="multilevel"/>
    <w:tmpl w:val="6D6C07CD"/>
    <w:lvl w:ilvl="0" w:tentative="0">
      <w:start w:val="1"/>
      <w:numFmt w:val="lowerLetter"/>
      <w:pStyle w:val="81"/>
      <w:lvlText w:val="%1)"/>
      <w:lvlJc w:val="left"/>
      <w:pPr>
        <w:tabs>
          <w:tab w:val="left" w:pos="839"/>
        </w:tabs>
        <w:ind w:left="839" w:hanging="419"/>
      </w:pPr>
      <w:rPr>
        <w:rFonts w:hint="eastAsia" w:ascii="宋体" w:eastAsia="宋体"/>
        <w:b w:val="0"/>
        <w:i w:val="0"/>
        <w:sz w:val="21"/>
      </w:rPr>
    </w:lvl>
    <w:lvl w:ilvl="1" w:tentative="0">
      <w:start w:val="1"/>
      <w:numFmt w:val="decimal"/>
      <w:pStyle w:val="86"/>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6">
    <w:nsid w:val="7EB127F2"/>
    <w:multiLevelType w:val="multilevel"/>
    <w:tmpl w:val="7EB127F2"/>
    <w:lvl w:ilvl="0" w:tentative="0">
      <w:start w:val="1"/>
      <w:numFmt w:val="lowerLetter"/>
      <w:pStyle w:val="132"/>
      <w:lvlText w:val="%1)"/>
      <w:lvlJc w:val="left"/>
      <w:pPr>
        <w:tabs>
          <w:tab w:val="left" w:pos="840"/>
        </w:tabs>
        <w:ind w:left="839" w:hanging="419"/>
      </w:pPr>
      <w:rPr>
        <w:rFonts w:hint="eastAsia" w:ascii="宋体" w:eastAsia="宋体"/>
        <w:b w:val="0"/>
        <w:i w:val="0"/>
        <w:sz w:val="21"/>
        <w:szCs w:val="21"/>
      </w:rPr>
    </w:lvl>
    <w:lvl w:ilvl="1" w:tentative="0">
      <w:start w:val="1"/>
      <w:numFmt w:val="decimal"/>
      <w:pStyle w:val="82"/>
      <w:lvlText w:val="%2)"/>
      <w:lvlJc w:val="left"/>
      <w:pPr>
        <w:tabs>
          <w:tab w:val="left" w:pos="1260"/>
        </w:tabs>
        <w:ind w:left="1259" w:hanging="419"/>
      </w:pPr>
      <w:rPr>
        <w:rFonts w:hint="eastAsia"/>
      </w:rPr>
    </w:lvl>
    <w:lvl w:ilvl="2" w:tentative="0">
      <w:start w:val="1"/>
      <w:numFmt w:val="decimal"/>
      <w:pStyle w:val="54"/>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10"/>
  </w:num>
  <w:num w:numId="2">
    <w:abstractNumId w:val="8"/>
  </w:num>
  <w:num w:numId="3">
    <w:abstractNumId w:val="0"/>
  </w:num>
  <w:num w:numId="4">
    <w:abstractNumId w:val="16"/>
  </w:num>
  <w:num w:numId="5">
    <w:abstractNumId w:val="5"/>
  </w:num>
  <w:num w:numId="6">
    <w:abstractNumId w:val="7"/>
  </w:num>
  <w:num w:numId="7">
    <w:abstractNumId w:val="9"/>
  </w:num>
  <w:num w:numId="8">
    <w:abstractNumId w:val="15"/>
  </w:num>
  <w:num w:numId="9">
    <w:abstractNumId w:val="14"/>
  </w:num>
  <w:num w:numId="10">
    <w:abstractNumId w:val="2"/>
  </w:num>
  <w:num w:numId="11">
    <w:abstractNumId w:val="13"/>
  </w:num>
  <w:num w:numId="12">
    <w:abstractNumId w:val="11"/>
  </w:num>
  <w:num w:numId="13">
    <w:abstractNumId w:val="4"/>
  </w:num>
  <w:num w:numId="14">
    <w:abstractNumId w:val="6"/>
  </w:num>
  <w:num w:numId="15">
    <w:abstractNumId w:val="3"/>
  </w:num>
  <w:num w:numId="16">
    <w:abstractNumId w:val="1"/>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bordersDoNotSurroundHeader w:val="1"/>
  <w:bordersDoNotSurroundFooter w:val="1"/>
  <w:attachedTemplate r:id="rId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Dc3NDJkOTA3MGI0MjkzMTcxOTVjNzk5NTZiZjkzZDkifQ=="/>
    <w:docVar w:name="KSO_WPS_MARK_KEY" w:val="b1f348c5-330e-4a6c-a12e-7a4a0e41785b"/>
  </w:docVars>
  <w:rsids>
    <w:rsidRoot w:val="7CFE148C"/>
    <w:rsid w:val="00000244"/>
    <w:rsid w:val="0000185F"/>
    <w:rsid w:val="0000586F"/>
    <w:rsid w:val="00005DEC"/>
    <w:rsid w:val="00006072"/>
    <w:rsid w:val="00013CDD"/>
    <w:rsid w:val="00013D86"/>
    <w:rsid w:val="00013E02"/>
    <w:rsid w:val="0002143C"/>
    <w:rsid w:val="00022B7F"/>
    <w:rsid w:val="00025A65"/>
    <w:rsid w:val="00026C31"/>
    <w:rsid w:val="00027280"/>
    <w:rsid w:val="000320A7"/>
    <w:rsid w:val="00034213"/>
    <w:rsid w:val="00035925"/>
    <w:rsid w:val="000404F1"/>
    <w:rsid w:val="000667FD"/>
    <w:rsid w:val="00067CDF"/>
    <w:rsid w:val="00072CF2"/>
    <w:rsid w:val="00074FBE"/>
    <w:rsid w:val="00080FCB"/>
    <w:rsid w:val="00083A09"/>
    <w:rsid w:val="0009005E"/>
    <w:rsid w:val="00091575"/>
    <w:rsid w:val="00092857"/>
    <w:rsid w:val="00093638"/>
    <w:rsid w:val="000A20A9"/>
    <w:rsid w:val="000A48B1"/>
    <w:rsid w:val="000B3143"/>
    <w:rsid w:val="000C6B05"/>
    <w:rsid w:val="000C6DD6"/>
    <w:rsid w:val="000C73D4"/>
    <w:rsid w:val="000D0329"/>
    <w:rsid w:val="000D3D4C"/>
    <w:rsid w:val="000D3D81"/>
    <w:rsid w:val="000D4F51"/>
    <w:rsid w:val="000D718B"/>
    <w:rsid w:val="000E0C46"/>
    <w:rsid w:val="000E0E71"/>
    <w:rsid w:val="000E7E41"/>
    <w:rsid w:val="000F030C"/>
    <w:rsid w:val="000F129C"/>
    <w:rsid w:val="001056DE"/>
    <w:rsid w:val="00111276"/>
    <w:rsid w:val="0011180B"/>
    <w:rsid w:val="001124C0"/>
    <w:rsid w:val="0011600F"/>
    <w:rsid w:val="00117C5A"/>
    <w:rsid w:val="001229D8"/>
    <w:rsid w:val="0013175F"/>
    <w:rsid w:val="0013295E"/>
    <w:rsid w:val="001405E6"/>
    <w:rsid w:val="001512B4"/>
    <w:rsid w:val="001519FC"/>
    <w:rsid w:val="00152994"/>
    <w:rsid w:val="0015698F"/>
    <w:rsid w:val="001620A5"/>
    <w:rsid w:val="00164E53"/>
    <w:rsid w:val="00165EA2"/>
    <w:rsid w:val="0016699D"/>
    <w:rsid w:val="0017328E"/>
    <w:rsid w:val="00174C56"/>
    <w:rsid w:val="00175159"/>
    <w:rsid w:val="00176208"/>
    <w:rsid w:val="0018211B"/>
    <w:rsid w:val="00182FB8"/>
    <w:rsid w:val="001840D3"/>
    <w:rsid w:val="001900F8"/>
    <w:rsid w:val="00191258"/>
    <w:rsid w:val="00192680"/>
    <w:rsid w:val="00193037"/>
    <w:rsid w:val="00193A2C"/>
    <w:rsid w:val="001A288E"/>
    <w:rsid w:val="001B1F64"/>
    <w:rsid w:val="001B3621"/>
    <w:rsid w:val="001B6278"/>
    <w:rsid w:val="001B6DC2"/>
    <w:rsid w:val="001C149C"/>
    <w:rsid w:val="001C1F4E"/>
    <w:rsid w:val="001C21AC"/>
    <w:rsid w:val="001C3E7D"/>
    <w:rsid w:val="001C47BA"/>
    <w:rsid w:val="001C59D6"/>
    <w:rsid w:val="001C59EA"/>
    <w:rsid w:val="001C6193"/>
    <w:rsid w:val="001D406C"/>
    <w:rsid w:val="001D41EE"/>
    <w:rsid w:val="001E0380"/>
    <w:rsid w:val="001E13B1"/>
    <w:rsid w:val="001E1B20"/>
    <w:rsid w:val="001E423A"/>
    <w:rsid w:val="001F2CEE"/>
    <w:rsid w:val="001F3A19"/>
    <w:rsid w:val="001F6363"/>
    <w:rsid w:val="00205DB9"/>
    <w:rsid w:val="00234467"/>
    <w:rsid w:val="00235A86"/>
    <w:rsid w:val="00235D66"/>
    <w:rsid w:val="00237D8D"/>
    <w:rsid w:val="00241DA2"/>
    <w:rsid w:val="00247FEE"/>
    <w:rsid w:val="00250E7D"/>
    <w:rsid w:val="002565D5"/>
    <w:rsid w:val="002622C0"/>
    <w:rsid w:val="00262F06"/>
    <w:rsid w:val="00274694"/>
    <w:rsid w:val="00275C6D"/>
    <w:rsid w:val="002778AE"/>
    <w:rsid w:val="0028269A"/>
    <w:rsid w:val="00283590"/>
    <w:rsid w:val="00286973"/>
    <w:rsid w:val="00294E70"/>
    <w:rsid w:val="002A1924"/>
    <w:rsid w:val="002A7420"/>
    <w:rsid w:val="002B0F12"/>
    <w:rsid w:val="002B1308"/>
    <w:rsid w:val="002B339C"/>
    <w:rsid w:val="002B4554"/>
    <w:rsid w:val="002B62B9"/>
    <w:rsid w:val="002B63C2"/>
    <w:rsid w:val="002B6FA6"/>
    <w:rsid w:val="002C3A46"/>
    <w:rsid w:val="002C72D8"/>
    <w:rsid w:val="002D11FA"/>
    <w:rsid w:val="002E0DDF"/>
    <w:rsid w:val="002E2906"/>
    <w:rsid w:val="002E2D95"/>
    <w:rsid w:val="002E5635"/>
    <w:rsid w:val="002E64C3"/>
    <w:rsid w:val="002E6A2C"/>
    <w:rsid w:val="002F1D8C"/>
    <w:rsid w:val="002F21DA"/>
    <w:rsid w:val="00301F39"/>
    <w:rsid w:val="0032398B"/>
    <w:rsid w:val="00325926"/>
    <w:rsid w:val="00327A8A"/>
    <w:rsid w:val="0033117B"/>
    <w:rsid w:val="003323F3"/>
    <w:rsid w:val="0033601C"/>
    <w:rsid w:val="00336610"/>
    <w:rsid w:val="00343F73"/>
    <w:rsid w:val="00345060"/>
    <w:rsid w:val="003500CC"/>
    <w:rsid w:val="0035323B"/>
    <w:rsid w:val="003609D2"/>
    <w:rsid w:val="0036148D"/>
    <w:rsid w:val="00363F22"/>
    <w:rsid w:val="00367971"/>
    <w:rsid w:val="00373D63"/>
    <w:rsid w:val="00375564"/>
    <w:rsid w:val="00383191"/>
    <w:rsid w:val="00384A3F"/>
    <w:rsid w:val="00386DED"/>
    <w:rsid w:val="003873B5"/>
    <w:rsid w:val="003912E7"/>
    <w:rsid w:val="00393947"/>
    <w:rsid w:val="00395E09"/>
    <w:rsid w:val="00397F2D"/>
    <w:rsid w:val="003A2275"/>
    <w:rsid w:val="003A6754"/>
    <w:rsid w:val="003A6A4F"/>
    <w:rsid w:val="003A7088"/>
    <w:rsid w:val="003B00DF"/>
    <w:rsid w:val="003B1275"/>
    <w:rsid w:val="003B1778"/>
    <w:rsid w:val="003C11CB"/>
    <w:rsid w:val="003C15CB"/>
    <w:rsid w:val="003C75F3"/>
    <w:rsid w:val="003C77AD"/>
    <w:rsid w:val="003C78A3"/>
    <w:rsid w:val="003D6AAD"/>
    <w:rsid w:val="003E1867"/>
    <w:rsid w:val="003E5729"/>
    <w:rsid w:val="003F0142"/>
    <w:rsid w:val="003F138B"/>
    <w:rsid w:val="003F1B3B"/>
    <w:rsid w:val="003F4EE0"/>
    <w:rsid w:val="00400D9C"/>
    <w:rsid w:val="00402153"/>
    <w:rsid w:val="00402BB9"/>
    <w:rsid w:val="00402FC1"/>
    <w:rsid w:val="00425082"/>
    <w:rsid w:val="00431DEB"/>
    <w:rsid w:val="00435585"/>
    <w:rsid w:val="0044164C"/>
    <w:rsid w:val="00442BD2"/>
    <w:rsid w:val="00446B29"/>
    <w:rsid w:val="00453F9A"/>
    <w:rsid w:val="0045538A"/>
    <w:rsid w:val="00471441"/>
    <w:rsid w:val="00471E91"/>
    <w:rsid w:val="00474675"/>
    <w:rsid w:val="0047470C"/>
    <w:rsid w:val="00475B3C"/>
    <w:rsid w:val="004817B6"/>
    <w:rsid w:val="00485B2F"/>
    <w:rsid w:val="004876FB"/>
    <w:rsid w:val="004A293E"/>
    <w:rsid w:val="004A35F9"/>
    <w:rsid w:val="004A4A3E"/>
    <w:rsid w:val="004B24C1"/>
    <w:rsid w:val="004B2E0E"/>
    <w:rsid w:val="004B73EC"/>
    <w:rsid w:val="004C185B"/>
    <w:rsid w:val="004C292F"/>
    <w:rsid w:val="004D2CF4"/>
    <w:rsid w:val="004E4326"/>
    <w:rsid w:val="00510280"/>
    <w:rsid w:val="00513D73"/>
    <w:rsid w:val="00514A43"/>
    <w:rsid w:val="00514EB5"/>
    <w:rsid w:val="005174E5"/>
    <w:rsid w:val="00522393"/>
    <w:rsid w:val="00522620"/>
    <w:rsid w:val="00525656"/>
    <w:rsid w:val="00531E46"/>
    <w:rsid w:val="00534C02"/>
    <w:rsid w:val="0054264B"/>
    <w:rsid w:val="00543786"/>
    <w:rsid w:val="00545AE8"/>
    <w:rsid w:val="005533D7"/>
    <w:rsid w:val="0056282A"/>
    <w:rsid w:val="00567BA0"/>
    <w:rsid w:val="005703DE"/>
    <w:rsid w:val="0058464E"/>
    <w:rsid w:val="005A01CB"/>
    <w:rsid w:val="005A20EE"/>
    <w:rsid w:val="005A58FF"/>
    <w:rsid w:val="005A5EAF"/>
    <w:rsid w:val="005A64C0"/>
    <w:rsid w:val="005B3C11"/>
    <w:rsid w:val="005B4BA2"/>
    <w:rsid w:val="005C1C28"/>
    <w:rsid w:val="005C6DB5"/>
    <w:rsid w:val="005E19E7"/>
    <w:rsid w:val="005F161B"/>
    <w:rsid w:val="005F2869"/>
    <w:rsid w:val="00604E3D"/>
    <w:rsid w:val="0061716C"/>
    <w:rsid w:val="006243A1"/>
    <w:rsid w:val="00625D00"/>
    <w:rsid w:val="00630961"/>
    <w:rsid w:val="00632E56"/>
    <w:rsid w:val="00635CBA"/>
    <w:rsid w:val="0064338B"/>
    <w:rsid w:val="00646542"/>
    <w:rsid w:val="00646F91"/>
    <w:rsid w:val="006504F4"/>
    <w:rsid w:val="00652B8A"/>
    <w:rsid w:val="00654BC9"/>
    <w:rsid w:val="006552FD"/>
    <w:rsid w:val="00663AF3"/>
    <w:rsid w:val="00666B6C"/>
    <w:rsid w:val="006804A8"/>
    <w:rsid w:val="00682682"/>
    <w:rsid w:val="00682702"/>
    <w:rsid w:val="00685602"/>
    <w:rsid w:val="00687092"/>
    <w:rsid w:val="00692368"/>
    <w:rsid w:val="006A2EBC"/>
    <w:rsid w:val="006A5EA0"/>
    <w:rsid w:val="006A783B"/>
    <w:rsid w:val="006A7B33"/>
    <w:rsid w:val="006B2678"/>
    <w:rsid w:val="006B4E13"/>
    <w:rsid w:val="006B75DD"/>
    <w:rsid w:val="006C2A5E"/>
    <w:rsid w:val="006C327A"/>
    <w:rsid w:val="006C67E0"/>
    <w:rsid w:val="006C7756"/>
    <w:rsid w:val="006C7ABA"/>
    <w:rsid w:val="006D0D60"/>
    <w:rsid w:val="006D1122"/>
    <w:rsid w:val="006D3C00"/>
    <w:rsid w:val="006D64A9"/>
    <w:rsid w:val="006D7853"/>
    <w:rsid w:val="006E1B77"/>
    <w:rsid w:val="006E3675"/>
    <w:rsid w:val="006E4A7F"/>
    <w:rsid w:val="006F7D3E"/>
    <w:rsid w:val="00703100"/>
    <w:rsid w:val="00704DF6"/>
    <w:rsid w:val="0070651C"/>
    <w:rsid w:val="007132A3"/>
    <w:rsid w:val="00716421"/>
    <w:rsid w:val="00724EFB"/>
    <w:rsid w:val="007419C3"/>
    <w:rsid w:val="007467A7"/>
    <w:rsid w:val="007469DD"/>
    <w:rsid w:val="0074741B"/>
    <w:rsid w:val="0074759E"/>
    <w:rsid w:val="007478EA"/>
    <w:rsid w:val="00753545"/>
    <w:rsid w:val="0075415C"/>
    <w:rsid w:val="00763502"/>
    <w:rsid w:val="00767C97"/>
    <w:rsid w:val="007913AB"/>
    <w:rsid w:val="007914F7"/>
    <w:rsid w:val="00795315"/>
    <w:rsid w:val="007B1625"/>
    <w:rsid w:val="007B6615"/>
    <w:rsid w:val="007B706E"/>
    <w:rsid w:val="007B71EB"/>
    <w:rsid w:val="007C0897"/>
    <w:rsid w:val="007C2EB5"/>
    <w:rsid w:val="007C6205"/>
    <w:rsid w:val="007C686A"/>
    <w:rsid w:val="007C728E"/>
    <w:rsid w:val="007D2C53"/>
    <w:rsid w:val="007D3D60"/>
    <w:rsid w:val="007D51CD"/>
    <w:rsid w:val="007E0FE3"/>
    <w:rsid w:val="007E1980"/>
    <w:rsid w:val="007E41E2"/>
    <w:rsid w:val="007E4B76"/>
    <w:rsid w:val="007E5EA8"/>
    <w:rsid w:val="007F0CF1"/>
    <w:rsid w:val="007F12A5"/>
    <w:rsid w:val="007F35A4"/>
    <w:rsid w:val="007F3E35"/>
    <w:rsid w:val="007F4691"/>
    <w:rsid w:val="007F4CF1"/>
    <w:rsid w:val="007F646B"/>
    <w:rsid w:val="007F758D"/>
    <w:rsid w:val="007F7D52"/>
    <w:rsid w:val="0080268E"/>
    <w:rsid w:val="0080654C"/>
    <w:rsid w:val="008071C6"/>
    <w:rsid w:val="0080742C"/>
    <w:rsid w:val="00812B66"/>
    <w:rsid w:val="00817A00"/>
    <w:rsid w:val="00835DB3"/>
    <w:rsid w:val="0083617B"/>
    <w:rsid w:val="008371BD"/>
    <w:rsid w:val="00846DF4"/>
    <w:rsid w:val="008504A8"/>
    <w:rsid w:val="0085282E"/>
    <w:rsid w:val="00864A2D"/>
    <w:rsid w:val="0087198C"/>
    <w:rsid w:val="00872C1F"/>
    <w:rsid w:val="00873B42"/>
    <w:rsid w:val="008856D8"/>
    <w:rsid w:val="00887448"/>
    <w:rsid w:val="00892E82"/>
    <w:rsid w:val="008A1F57"/>
    <w:rsid w:val="008B0DD3"/>
    <w:rsid w:val="008B77DC"/>
    <w:rsid w:val="008C1B58"/>
    <w:rsid w:val="008C39AE"/>
    <w:rsid w:val="008C590D"/>
    <w:rsid w:val="008E031B"/>
    <w:rsid w:val="008E7029"/>
    <w:rsid w:val="008E76BF"/>
    <w:rsid w:val="008E7EF6"/>
    <w:rsid w:val="008F0ECA"/>
    <w:rsid w:val="008F19C9"/>
    <w:rsid w:val="008F1F98"/>
    <w:rsid w:val="008F6758"/>
    <w:rsid w:val="00903A1B"/>
    <w:rsid w:val="009040DD"/>
    <w:rsid w:val="00905AF0"/>
    <w:rsid w:val="00905B47"/>
    <w:rsid w:val="0091331C"/>
    <w:rsid w:val="009160B4"/>
    <w:rsid w:val="009279DE"/>
    <w:rsid w:val="00930116"/>
    <w:rsid w:val="0094212C"/>
    <w:rsid w:val="00945534"/>
    <w:rsid w:val="009473ED"/>
    <w:rsid w:val="0094765B"/>
    <w:rsid w:val="009479E6"/>
    <w:rsid w:val="00947FE7"/>
    <w:rsid w:val="0095286B"/>
    <w:rsid w:val="00954689"/>
    <w:rsid w:val="009549AD"/>
    <w:rsid w:val="00960301"/>
    <w:rsid w:val="009617C9"/>
    <w:rsid w:val="00961C93"/>
    <w:rsid w:val="00965324"/>
    <w:rsid w:val="0097091E"/>
    <w:rsid w:val="00973FEE"/>
    <w:rsid w:val="00974462"/>
    <w:rsid w:val="009760D3"/>
    <w:rsid w:val="0097655C"/>
    <w:rsid w:val="00977132"/>
    <w:rsid w:val="00981A4B"/>
    <w:rsid w:val="00982501"/>
    <w:rsid w:val="009877D3"/>
    <w:rsid w:val="00994E8F"/>
    <w:rsid w:val="009951DC"/>
    <w:rsid w:val="00995251"/>
    <w:rsid w:val="009959BB"/>
    <w:rsid w:val="00997158"/>
    <w:rsid w:val="009A3A7C"/>
    <w:rsid w:val="009A40A1"/>
    <w:rsid w:val="009B2ADB"/>
    <w:rsid w:val="009B603A"/>
    <w:rsid w:val="009C2D0E"/>
    <w:rsid w:val="009C3779"/>
    <w:rsid w:val="009C3DAC"/>
    <w:rsid w:val="009C42E0"/>
    <w:rsid w:val="009C65B2"/>
    <w:rsid w:val="009D5362"/>
    <w:rsid w:val="009E1415"/>
    <w:rsid w:val="009E6116"/>
    <w:rsid w:val="009F0086"/>
    <w:rsid w:val="009F428C"/>
    <w:rsid w:val="00A00D27"/>
    <w:rsid w:val="00A02E43"/>
    <w:rsid w:val="00A065F9"/>
    <w:rsid w:val="00A07F34"/>
    <w:rsid w:val="00A13D87"/>
    <w:rsid w:val="00A22154"/>
    <w:rsid w:val="00A25C38"/>
    <w:rsid w:val="00A350B1"/>
    <w:rsid w:val="00A36BBE"/>
    <w:rsid w:val="00A4307A"/>
    <w:rsid w:val="00A47EBB"/>
    <w:rsid w:val="00A47F59"/>
    <w:rsid w:val="00A51CDD"/>
    <w:rsid w:val="00A63997"/>
    <w:rsid w:val="00A6730D"/>
    <w:rsid w:val="00A70C86"/>
    <w:rsid w:val="00A71625"/>
    <w:rsid w:val="00A71B9B"/>
    <w:rsid w:val="00A751C7"/>
    <w:rsid w:val="00A7535D"/>
    <w:rsid w:val="00A774BA"/>
    <w:rsid w:val="00A87844"/>
    <w:rsid w:val="00A91D07"/>
    <w:rsid w:val="00A944F5"/>
    <w:rsid w:val="00A94909"/>
    <w:rsid w:val="00A9560E"/>
    <w:rsid w:val="00A9621D"/>
    <w:rsid w:val="00AA038C"/>
    <w:rsid w:val="00AA7A09"/>
    <w:rsid w:val="00AB3B50"/>
    <w:rsid w:val="00AB4307"/>
    <w:rsid w:val="00AC0256"/>
    <w:rsid w:val="00AC05B1"/>
    <w:rsid w:val="00AC1507"/>
    <w:rsid w:val="00AC357A"/>
    <w:rsid w:val="00AD356C"/>
    <w:rsid w:val="00AD78C1"/>
    <w:rsid w:val="00AE2914"/>
    <w:rsid w:val="00AE6D15"/>
    <w:rsid w:val="00AF03D6"/>
    <w:rsid w:val="00B01229"/>
    <w:rsid w:val="00B04182"/>
    <w:rsid w:val="00B07AE3"/>
    <w:rsid w:val="00B11430"/>
    <w:rsid w:val="00B116B9"/>
    <w:rsid w:val="00B26481"/>
    <w:rsid w:val="00B353EB"/>
    <w:rsid w:val="00B439C4"/>
    <w:rsid w:val="00B4415F"/>
    <w:rsid w:val="00B4535E"/>
    <w:rsid w:val="00B478DB"/>
    <w:rsid w:val="00B52A8C"/>
    <w:rsid w:val="00B636A8"/>
    <w:rsid w:val="00B665C6"/>
    <w:rsid w:val="00B7241A"/>
    <w:rsid w:val="00B805AF"/>
    <w:rsid w:val="00B869EC"/>
    <w:rsid w:val="00B91E4B"/>
    <w:rsid w:val="00B9397A"/>
    <w:rsid w:val="00B9546D"/>
    <w:rsid w:val="00B9633D"/>
    <w:rsid w:val="00BA2EBE"/>
    <w:rsid w:val="00BB0251"/>
    <w:rsid w:val="00BB0F28"/>
    <w:rsid w:val="00BB3055"/>
    <w:rsid w:val="00BB3690"/>
    <w:rsid w:val="00BB458A"/>
    <w:rsid w:val="00BB6134"/>
    <w:rsid w:val="00BB6D6A"/>
    <w:rsid w:val="00BC73F7"/>
    <w:rsid w:val="00BD00D3"/>
    <w:rsid w:val="00BD1659"/>
    <w:rsid w:val="00BD3AA9"/>
    <w:rsid w:val="00BD4A18"/>
    <w:rsid w:val="00BD6DB2"/>
    <w:rsid w:val="00BE11CF"/>
    <w:rsid w:val="00BE1D5C"/>
    <w:rsid w:val="00BE21AB"/>
    <w:rsid w:val="00BE4FD0"/>
    <w:rsid w:val="00BE55CB"/>
    <w:rsid w:val="00BE6DEF"/>
    <w:rsid w:val="00BF37BE"/>
    <w:rsid w:val="00BF617A"/>
    <w:rsid w:val="00C0379D"/>
    <w:rsid w:val="00C03931"/>
    <w:rsid w:val="00C05FE3"/>
    <w:rsid w:val="00C2136D"/>
    <w:rsid w:val="00C214EE"/>
    <w:rsid w:val="00C22860"/>
    <w:rsid w:val="00C2314B"/>
    <w:rsid w:val="00C24971"/>
    <w:rsid w:val="00C26BE5"/>
    <w:rsid w:val="00C26E4D"/>
    <w:rsid w:val="00C27909"/>
    <w:rsid w:val="00C27B03"/>
    <w:rsid w:val="00C30491"/>
    <w:rsid w:val="00C314E1"/>
    <w:rsid w:val="00C32F55"/>
    <w:rsid w:val="00C34397"/>
    <w:rsid w:val="00C4095D"/>
    <w:rsid w:val="00C40D1F"/>
    <w:rsid w:val="00C52F29"/>
    <w:rsid w:val="00C55449"/>
    <w:rsid w:val="00C55E9F"/>
    <w:rsid w:val="00C56627"/>
    <w:rsid w:val="00C601D2"/>
    <w:rsid w:val="00C657AB"/>
    <w:rsid w:val="00C65BCC"/>
    <w:rsid w:val="00C66970"/>
    <w:rsid w:val="00C71CD4"/>
    <w:rsid w:val="00C76B61"/>
    <w:rsid w:val="00C8691C"/>
    <w:rsid w:val="00C944AF"/>
    <w:rsid w:val="00C96143"/>
    <w:rsid w:val="00CA01A6"/>
    <w:rsid w:val="00CA168A"/>
    <w:rsid w:val="00CA357E"/>
    <w:rsid w:val="00CA363F"/>
    <w:rsid w:val="00CA44F9"/>
    <w:rsid w:val="00CA483C"/>
    <w:rsid w:val="00CA4A69"/>
    <w:rsid w:val="00CB4A5E"/>
    <w:rsid w:val="00CC0F19"/>
    <w:rsid w:val="00CC3E0C"/>
    <w:rsid w:val="00CC58D3"/>
    <w:rsid w:val="00CC784D"/>
    <w:rsid w:val="00CD2668"/>
    <w:rsid w:val="00CE1C08"/>
    <w:rsid w:val="00CF00E6"/>
    <w:rsid w:val="00CF2B0D"/>
    <w:rsid w:val="00CF662B"/>
    <w:rsid w:val="00D0263E"/>
    <w:rsid w:val="00D0337B"/>
    <w:rsid w:val="00D079B2"/>
    <w:rsid w:val="00D114E9"/>
    <w:rsid w:val="00D1256E"/>
    <w:rsid w:val="00D2546B"/>
    <w:rsid w:val="00D26276"/>
    <w:rsid w:val="00D2772E"/>
    <w:rsid w:val="00D429C6"/>
    <w:rsid w:val="00D47748"/>
    <w:rsid w:val="00D54CC3"/>
    <w:rsid w:val="00D60079"/>
    <w:rsid w:val="00D6041A"/>
    <w:rsid w:val="00D633EB"/>
    <w:rsid w:val="00D82FF7"/>
    <w:rsid w:val="00D847FE"/>
    <w:rsid w:val="00D93EB0"/>
    <w:rsid w:val="00D964EA"/>
    <w:rsid w:val="00D966D0"/>
    <w:rsid w:val="00D97FCF"/>
    <w:rsid w:val="00DA00BA"/>
    <w:rsid w:val="00DA0C59"/>
    <w:rsid w:val="00DA3991"/>
    <w:rsid w:val="00DB73CE"/>
    <w:rsid w:val="00DB7E6C"/>
    <w:rsid w:val="00DD2B72"/>
    <w:rsid w:val="00DD5A29"/>
    <w:rsid w:val="00DD5D9D"/>
    <w:rsid w:val="00DE35CB"/>
    <w:rsid w:val="00DE5383"/>
    <w:rsid w:val="00DF21E9"/>
    <w:rsid w:val="00E00F14"/>
    <w:rsid w:val="00E06386"/>
    <w:rsid w:val="00E15FC4"/>
    <w:rsid w:val="00E24EB4"/>
    <w:rsid w:val="00E306C9"/>
    <w:rsid w:val="00E30A72"/>
    <w:rsid w:val="00E320ED"/>
    <w:rsid w:val="00E33AFB"/>
    <w:rsid w:val="00E34218"/>
    <w:rsid w:val="00E46282"/>
    <w:rsid w:val="00E46D11"/>
    <w:rsid w:val="00E50496"/>
    <w:rsid w:val="00E5216E"/>
    <w:rsid w:val="00E67F53"/>
    <w:rsid w:val="00E70316"/>
    <w:rsid w:val="00E711F0"/>
    <w:rsid w:val="00E82344"/>
    <w:rsid w:val="00E82F8E"/>
    <w:rsid w:val="00E83DA9"/>
    <w:rsid w:val="00E84C82"/>
    <w:rsid w:val="00E84D64"/>
    <w:rsid w:val="00E87408"/>
    <w:rsid w:val="00E914C4"/>
    <w:rsid w:val="00E933D9"/>
    <w:rsid w:val="00E934F5"/>
    <w:rsid w:val="00E96961"/>
    <w:rsid w:val="00EA1F0E"/>
    <w:rsid w:val="00EA72EC"/>
    <w:rsid w:val="00EB11CB"/>
    <w:rsid w:val="00EB275A"/>
    <w:rsid w:val="00EB786A"/>
    <w:rsid w:val="00EC1578"/>
    <w:rsid w:val="00EC168E"/>
    <w:rsid w:val="00EC1C72"/>
    <w:rsid w:val="00EC3CC9"/>
    <w:rsid w:val="00EC680A"/>
    <w:rsid w:val="00ED2534"/>
    <w:rsid w:val="00ED293D"/>
    <w:rsid w:val="00ED2FF0"/>
    <w:rsid w:val="00ED52E2"/>
    <w:rsid w:val="00EE051D"/>
    <w:rsid w:val="00EE13CD"/>
    <w:rsid w:val="00EE2BED"/>
    <w:rsid w:val="00EE374B"/>
    <w:rsid w:val="00EE56B2"/>
    <w:rsid w:val="00EE7731"/>
    <w:rsid w:val="00F050DA"/>
    <w:rsid w:val="00F063DC"/>
    <w:rsid w:val="00F11BB5"/>
    <w:rsid w:val="00F1417B"/>
    <w:rsid w:val="00F160F9"/>
    <w:rsid w:val="00F34B99"/>
    <w:rsid w:val="00F47885"/>
    <w:rsid w:val="00F517C3"/>
    <w:rsid w:val="00F52DAB"/>
    <w:rsid w:val="00F543F0"/>
    <w:rsid w:val="00F60A11"/>
    <w:rsid w:val="00F64A5E"/>
    <w:rsid w:val="00F66DC0"/>
    <w:rsid w:val="00F80611"/>
    <w:rsid w:val="00F81D29"/>
    <w:rsid w:val="00F91C4D"/>
    <w:rsid w:val="00F92FD9"/>
    <w:rsid w:val="00F9603E"/>
    <w:rsid w:val="00FA34C2"/>
    <w:rsid w:val="00FA6684"/>
    <w:rsid w:val="00FA731E"/>
    <w:rsid w:val="00FB2B38"/>
    <w:rsid w:val="00FB794D"/>
    <w:rsid w:val="00FC3489"/>
    <w:rsid w:val="00FC6358"/>
    <w:rsid w:val="00FD2245"/>
    <w:rsid w:val="00FD320D"/>
    <w:rsid w:val="00FE08C1"/>
    <w:rsid w:val="00FE23DE"/>
    <w:rsid w:val="00FE5EF0"/>
    <w:rsid w:val="00FE67CE"/>
    <w:rsid w:val="00FF6CED"/>
    <w:rsid w:val="01F15272"/>
    <w:rsid w:val="045B7AF3"/>
    <w:rsid w:val="0B30232A"/>
    <w:rsid w:val="11066FA3"/>
    <w:rsid w:val="11837F45"/>
    <w:rsid w:val="119B5EC4"/>
    <w:rsid w:val="125C7380"/>
    <w:rsid w:val="18322525"/>
    <w:rsid w:val="18E54245"/>
    <w:rsid w:val="1A7732BA"/>
    <w:rsid w:val="1AD378D5"/>
    <w:rsid w:val="1B905C9E"/>
    <w:rsid w:val="1E6F71E1"/>
    <w:rsid w:val="1FB1083B"/>
    <w:rsid w:val="21354AB4"/>
    <w:rsid w:val="247E0802"/>
    <w:rsid w:val="28823853"/>
    <w:rsid w:val="28950A1B"/>
    <w:rsid w:val="29F85D1B"/>
    <w:rsid w:val="2A9332BC"/>
    <w:rsid w:val="2AF1341D"/>
    <w:rsid w:val="2B513E2A"/>
    <w:rsid w:val="2C3703A2"/>
    <w:rsid w:val="2C4065CD"/>
    <w:rsid w:val="302D15B1"/>
    <w:rsid w:val="35C87488"/>
    <w:rsid w:val="3680281D"/>
    <w:rsid w:val="38103408"/>
    <w:rsid w:val="384D4AA9"/>
    <w:rsid w:val="38A60D28"/>
    <w:rsid w:val="39F15AAA"/>
    <w:rsid w:val="39FB0D56"/>
    <w:rsid w:val="3A7D32BA"/>
    <w:rsid w:val="3B5D2652"/>
    <w:rsid w:val="3CA60B96"/>
    <w:rsid w:val="40BB22FF"/>
    <w:rsid w:val="429F4322"/>
    <w:rsid w:val="43963680"/>
    <w:rsid w:val="45513CAA"/>
    <w:rsid w:val="496D1151"/>
    <w:rsid w:val="4A403C3E"/>
    <w:rsid w:val="4A6F4A0A"/>
    <w:rsid w:val="4E324BB9"/>
    <w:rsid w:val="52927709"/>
    <w:rsid w:val="53F442CD"/>
    <w:rsid w:val="55CF52A3"/>
    <w:rsid w:val="5CEE0FB8"/>
    <w:rsid w:val="5E927B2E"/>
    <w:rsid w:val="5F447FDD"/>
    <w:rsid w:val="62967347"/>
    <w:rsid w:val="62BE3C02"/>
    <w:rsid w:val="677C0251"/>
    <w:rsid w:val="687D256D"/>
    <w:rsid w:val="6B151245"/>
    <w:rsid w:val="6BBB1E42"/>
    <w:rsid w:val="6C5B40D9"/>
    <w:rsid w:val="6CE519A6"/>
    <w:rsid w:val="706323F0"/>
    <w:rsid w:val="708A7EC5"/>
    <w:rsid w:val="71912528"/>
    <w:rsid w:val="72CF0486"/>
    <w:rsid w:val="73DC4534"/>
    <w:rsid w:val="7419513C"/>
    <w:rsid w:val="76D94C31"/>
    <w:rsid w:val="775C74B0"/>
    <w:rsid w:val="779A6522"/>
    <w:rsid w:val="7A5272D3"/>
    <w:rsid w:val="7A686464"/>
    <w:rsid w:val="7CFE148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5"/>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keepNext/>
      <w:keepLines/>
      <w:numPr>
        <w:ilvl w:val="1"/>
        <w:numId w:val="1"/>
      </w:numPr>
      <w:spacing w:before="260" w:after="260" w:line="413" w:lineRule="auto"/>
      <w:outlineLvl w:val="1"/>
    </w:pPr>
    <w:rPr>
      <w:rFonts w:ascii="Arial" w:hAnsi="Arial" w:eastAsia="黑体"/>
      <w:b/>
      <w:sz w:val="32"/>
    </w:rPr>
  </w:style>
  <w:style w:type="paragraph" w:styleId="4">
    <w:name w:val="heading 3"/>
    <w:basedOn w:val="1"/>
    <w:next w:val="1"/>
    <w:semiHidden/>
    <w:unhideWhenUsed/>
    <w:qFormat/>
    <w:uiPriority w:val="0"/>
    <w:pPr>
      <w:keepNext/>
      <w:keepLines/>
      <w:numPr>
        <w:ilvl w:val="2"/>
        <w:numId w:val="1"/>
      </w:numPr>
      <w:spacing w:before="260" w:after="260" w:line="413" w:lineRule="auto"/>
      <w:outlineLvl w:val="2"/>
    </w:pPr>
    <w:rPr>
      <w:b/>
      <w:sz w:val="32"/>
    </w:rPr>
  </w:style>
  <w:style w:type="paragraph" w:styleId="5">
    <w:name w:val="heading 4"/>
    <w:basedOn w:val="1"/>
    <w:next w:val="1"/>
    <w:semiHidden/>
    <w:unhideWhenUsed/>
    <w:qFormat/>
    <w:uiPriority w:val="0"/>
    <w:pPr>
      <w:keepNext/>
      <w:keepLines/>
      <w:numPr>
        <w:ilvl w:val="3"/>
        <w:numId w:val="1"/>
      </w:numPr>
      <w:spacing w:before="280" w:after="290" w:line="372" w:lineRule="auto"/>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1"/>
      </w:numPr>
      <w:spacing w:before="280" w:after="290" w:line="372" w:lineRule="auto"/>
      <w:outlineLvl w:val="4"/>
    </w:pPr>
    <w:rPr>
      <w:b/>
      <w:sz w:val="28"/>
    </w:rPr>
  </w:style>
  <w:style w:type="paragraph" w:styleId="7">
    <w:name w:val="heading 6"/>
    <w:basedOn w:val="1"/>
    <w:next w:val="1"/>
    <w:semiHidden/>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0"/>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after="64" w:line="317" w:lineRule="auto"/>
      <w:outlineLvl w:val="8"/>
    </w:pPr>
    <w:rPr>
      <w:rFonts w:ascii="Arial" w:hAnsi="Arial" w:eastAsia="黑体"/>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semiHidden/>
    <w:qFormat/>
    <w:uiPriority w:val="0"/>
    <w:pPr>
      <w:tabs>
        <w:tab w:val="right" w:leader="dot" w:pos="9241"/>
      </w:tabs>
      <w:ind w:firstLine="500" w:firstLineChars="500"/>
      <w:jc w:val="left"/>
    </w:pPr>
    <w:rPr>
      <w:rFonts w:ascii="宋体"/>
      <w:szCs w:val="21"/>
    </w:rPr>
  </w:style>
  <w:style w:type="paragraph" w:styleId="12">
    <w:name w:val="index 8"/>
    <w:basedOn w:val="1"/>
    <w:next w:val="1"/>
    <w:qFormat/>
    <w:uiPriority w:val="0"/>
    <w:pPr>
      <w:ind w:left="1680" w:hanging="210"/>
      <w:jc w:val="left"/>
    </w:pPr>
    <w:rPr>
      <w:rFonts w:ascii="Calibri" w:hAnsi="Calibri"/>
      <w:sz w:val="20"/>
      <w:szCs w:val="20"/>
    </w:rPr>
  </w:style>
  <w:style w:type="paragraph" w:styleId="13">
    <w:name w:val="caption"/>
    <w:basedOn w:val="1"/>
    <w:next w:val="1"/>
    <w:qFormat/>
    <w:uiPriority w:val="0"/>
    <w:pPr>
      <w:spacing w:before="152" w:after="160"/>
    </w:pPr>
    <w:rPr>
      <w:rFonts w:ascii="Arial" w:hAnsi="Arial" w:eastAsia="黑体" w:cs="Arial"/>
      <w:sz w:val="20"/>
      <w:szCs w:val="20"/>
    </w:rPr>
  </w:style>
  <w:style w:type="paragraph" w:styleId="14">
    <w:name w:val="index 5"/>
    <w:basedOn w:val="1"/>
    <w:next w:val="1"/>
    <w:qFormat/>
    <w:uiPriority w:val="0"/>
    <w:pPr>
      <w:ind w:left="1050" w:hanging="210"/>
      <w:jc w:val="left"/>
    </w:pPr>
    <w:rPr>
      <w:rFonts w:ascii="Calibri" w:hAnsi="Calibri"/>
      <w:sz w:val="20"/>
      <w:szCs w:val="20"/>
    </w:rPr>
  </w:style>
  <w:style w:type="paragraph" w:styleId="15">
    <w:name w:val="Document Map"/>
    <w:basedOn w:val="1"/>
    <w:semiHidden/>
    <w:qFormat/>
    <w:uiPriority w:val="0"/>
    <w:pPr>
      <w:shd w:val="clear" w:color="auto" w:fill="000080"/>
    </w:pPr>
  </w:style>
  <w:style w:type="paragraph" w:styleId="16">
    <w:name w:val="index 6"/>
    <w:basedOn w:val="1"/>
    <w:next w:val="1"/>
    <w:qFormat/>
    <w:uiPriority w:val="0"/>
    <w:pPr>
      <w:ind w:left="1260" w:hanging="210"/>
      <w:jc w:val="left"/>
    </w:pPr>
    <w:rPr>
      <w:rFonts w:ascii="Calibri" w:hAnsi="Calibri"/>
      <w:sz w:val="20"/>
      <w:szCs w:val="20"/>
    </w:rPr>
  </w:style>
  <w:style w:type="paragraph" w:styleId="17">
    <w:name w:val="Body Text"/>
    <w:basedOn w:val="1"/>
    <w:qFormat/>
    <w:uiPriority w:val="0"/>
    <w:pPr>
      <w:spacing w:after="120"/>
    </w:pPr>
  </w:style>
  <w:style w:type="paragraph" w:styleId="18">
    <w:name w:val="Body Text Indent"/>
    <w:basedOn w:val="1"/>
    <w:qFormat/>
    <w:uiPriority w:val="0"/>
    <w:pPr>
      <w:spacing w:after="120"/>
      <w:ind w:left="420" w:leftChars="200"/>
    </w:pPr>
  </w:style>
  <w:style w:type="paragraph" w:styleId="19">
    <w:name w:val="index 4"/>
    <w:basedOn w:val="1"/>
    <w:next w:val="1"/>
    <w:qFormat/>
    <w:uiPriority w:val="0"/>
    <w:pPr>
      <w:ind w:left="840" w:hanging="210"/>
      <w:jc w:val="left"/>
    </w:pPr>
    <w:rPr>
      <w:rFonts w:ascii="Calibri" w:hAnsi="Calibri"/>
      <w:sz w:val="20"/>
      <w:szCs w:val="20"/>
    </w:rPr>
  </w:style>
  <w:style w:type="paragraph" w:styleId="20">
    <w:name w:val="toc 5"/>
    <w:basedOn w:val="1"/>
    <w:next w:val="1"/>
    <w:semiHidden/>
    <w:qFormat/>
    <w:uiPriority w:val="0"/>
    <w:pPr>
      <w:tabs>
        <w:tab w:val="right" w:leader="dot" w:pos="9241"/>
      </w:tabs>
      <w:ind w:firstLine="300" w:firstLineChars="300"/>
      <w:jc w:val="left"/>
    </w:pPr>
    <w:rPr>
      <w:rFonts w:ascii="宋体"/>
      <w:szCs w:val="21"/>
    </w:rPr>
  </w:style>
  <w:style w:type="paragraph" w:styleId="21">
    <w:name w:val="toc 3"/>
    <w:basedOn w:val="1"/>
    <w:next w:val="1"/>
    <w:qFormat/>
    <w:uiPriority w:val="39"/>
    <w:pPr>
      <w:tabs>
        <w:tab w:val="right" w:leader="dot" w:pos="9241"/>
      </w:tabs>
      <w:ind w:firstLine="100" w:firstLineChars="100"/>
      <w:jc w:val="left"/>
    </w:pPr>
    <w:rPr>
      <w:rFonts w:ascii="宋体"/>
      <w:szCs w:val="21"/>
    </w:rPr>
  </w:style>
  <w:style w:type="paragraph" w:styleId="22">
    <w:name w:val="toc 8"/>
    <w:basedOn w:val="1"/>
    <w:next w:val="1"/>
    <w:semiHidden/>
    <w:qFormat/>
    <w:uiPriority w:val="0"/>
    <w:pPr>
      <w:tabs>
        <w:tab w:val="right" w:leader="dot" w:pos="9241"/>
      </w:tabs>
      <w:ind w:firstLine="607" w:firstLineChars="600"/>
      <w:jc w:val="left"/>
    </w:pPr>
    <w:rPr>
      <w:rFonts w:ascii="宋体"/>
      <w:szCs w:val="21"/>
    </w:rPr>
  </w:style>
  <w:style w:type="paragraph" w:styleId="23">
    <w:name w:val="index 3"/>
    <w:basedOn w:val="1"/>
    <w:next w:val="1"/>
    <w:qFormat/>
    <w:uiPriority w:val="0"/>
    <w:pPr>
      <w:ind w:left="630" w:hanging="210"/>
      <w:jc w:val="left"/>
    </w:pPr>
    <w:rPr>
      <w:rFonts w:ascii="Calibri" w:hAnsi="Calibri"/>
      <w:sz w:val="20"/>
      <w:szCs w:val="20"/>
    </w:rPr>
  </w:style>
  <w:style w:type="paragraph" w:styleId="24">
    <w:name w:val="Date"/>
    <w:basedOn w:val="1"/>
    <w:next w:val="1"/>
    <w:link w:val="150"/>
    <w:qFormat/>
    <w:uiPriority w:val="0"/>
    <w:pPr>
      <w:ind w:left="100" w:leftChars="2500"/>
    </w:pPr>
  </w:style>
  <w:style w:type="paragraph" w:styleId="25">
    <w:name w:val="endnote text"/>
    <w:basedOn w:val="1"/>
    <w:semiHidden/>
    <w:qFormat/>
    <w:uiPriority w:val="0"/>
    <w:pPr>
      <w:snapToGrid w:val="0"/>
      <w:jc w:val="left"/>
    </w:pPr>
  </w:style>
  <w:style w:type="paragraph" w:styleId="26">
    <w:name w:val="Balloon Text"/>
    <w:basedOn w:val="1"/>
    <w:link w:val="149"/>
    <w:qFormat/>
    <w:uiPriority w:val="0"/>
    <w:rPr>
      <w:sz w:val="18"/>
      <w:szCs w:val="18"/>
    </w:rPr>
  </w:style>
  <w:style w:type="paragraph" w:styleId="27">
    <w:name w:val="footer"/>
    <w:basedOn w:val="1"/>
    <w:qFormat/>
    <w:uiPriority w:val="0"/>
    <w:pPr>
      <w:snapToGrid w:val="0"/>
      <w:ind w:right="210" w:rightChars="100"/>
      <w:jc w:val="right"/>
    </w:pPr>
    <w:rPr>
      <w:sz w:val="18"/>
      <w:szCs w:val="18"/>
    </w:rPr>
  </w:style>
  <w:style w:type="paragraph" w:styleId="28">
    <w:name w:val="header"/>
    <w:basedOn w:val="1"/>
    <w:qFormat/>
    <w:uiPriority w:val="0"/>
    <w:pPr>
      <w:snapToGrid w:val="0"/>
      <w:jc w:val="left"/>
    </w:pPr>
    <w:rPr>
      <w:sz w:val="18"/>
      <w:szCs w:val="18"/>
    </w:rPr>
  </w:style>
  <w:style w:type="paragraph" w:styleId="29">
    <w:name w:val="toc 1"/>
    <w:basedOn w:val="1"/>
    <w:next w:val="1"/>
    <w:qFormat/>
    <w:uiPriority w:val="39"/>
    <w:pPr>
      <w:tabs>
        <w:tab w:val="right" w:leader="dot" w:pos="9242"/>
      </w:tabs>
      <w:spacing w:beforeLines="25" w:afterLines="25"/>
      <w:jc w:val="left"/>
    </w:pPr>
    <w:rPr>
      <w:rFonts w:ascii="宋体"/>
      <w:szCs w:val="21"/>
    </w:rPr>
  </w:style>
  <w:style w:type="paragraph" w:styleId="30">
    <w:name w:val="toc 4"/>
    <w:basedOn w:val="1"/>
    <w:next w:val="1"/>
    <w:semiHidden/>
    <w:qFormat/>
    <w:uiPriority w:val="0"/>
    <w:pPr>
      <w:tabs>
        <w:tab w:val="right" w:leader="dot" w:pos="9241"/>
      </w:tabs>
      <w:ind w:firstLine="200" w:firstLineChars="200"/>
      <w:jc w:val="left"/>
    </w:pPr>
    <w:rPr>
      <w:rFonts w:ascii="宋体"/>
      <w:szCs w:val="21"/>
    </w:rPr>
  </w:style>
  <w:style w:type="paragraph" w:styleId="31">
    <w:name w:val="index heading"/>
    <w:basedOn w:val="1"/>
    <w:next w:val="32"/>
    <w:qFormat/>
    <w:uiPriority w:val="0"/>
    <w:pPr>
      <w:spacing w:before="120" w:after="120"/>
      <w:jc w:val="center"/>
    </w:pPr>
    <w:rPr>
      <w:rFonts w:ascii="Calibri" w:hAnsi="Calibri"/>
      <w:b/>
      <w:bCs/>
      <w:iCs/>
      <w:szCs w:val="20"/>
    </w:rPr>
  </w:style>
  <w:style w:type="paragraph" w:styleId="32">
    <w:name w:val="index 1"/>
    <w:basedOn w:val="1"/>
    <w:next w:val="33"/>
    <w:qFormat/>
    <w:uiPriority w:val="0"/>
    <w:pPr>
      <w:tabs>
        <w:tab w:val="right" w:leader="dot" w:pos="9299"/>
      </w:tabs>
      <w:jc w:val="left"/>
    </w:pPr>
    <w:rPr>
      <w:rFonts w:ascii="宋体"/>
      <w:szCs w:val="21"/>
    </w:rPr>
  </w:style>
  <w:style w:type="paragraph" w:customStyle="1" w:styleId="33">
    <w:name w:val="段"/>
    <w:link w:val="14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34">
    <w:name w:val="footnote text"/>
    <w:basedOn w:val="1"/>
    <w:qFormat/>
    <w:uiPriority w:val="0"/>
    <w:pPr>
      <w:numPr>
        <w:ilvl w:val="0"/>
        <w:numId w:val="2"/>
      </w:numPr>
      <w:snapToGrid w:val="0"/>
      <w:jc w:val="left"/>
    </w:pPr>
    <w:rPr>
      <w:rFonts w:ascii="宋体"/>
      <w:sz w:val="18"/>
      <w:szCs w:val="18"/>
    </w:rPr>
  </w:style>
  <w:style w:type="paragraph" w:styleId="35">
    <w:name w:val="toc 6"/>
    <w:basedOn w:val="1"/>
    <w:next w:val="1"/>
    <w:semiHidden/>
    <w:qFormat/>
    <w:uiPriority w:val="0"/>
    <w:pPr>
      <w:tabs>
        <w:tab w:val="right" w:leader="dot" w:pos="9241"/>
      </w:tabs>
      <w:ind w:firstLine="400" w:firstLineChars="400"/>
      <w:jc w:val="left"/>
    </w:pPr>
    <w:rPr>
      <w:rFonts w:ascii="宋体"/>
      <w:szCs w:val="21"/>
    </w:rPr>
  </w:style>
  <w:style w:type="paragraph" w:styleId="36">
    <w:name w:val="index 7"/>
    <w:basedOn w:val="1"/>
    <w:next w:val="1"/>
    <w:qFormat/>
    <w:uiPriority w:val="0"/>
    <w:pPr>
      <w:ind w:left="1470" w:hanging="210"/>
      <w:jc w:val="left"/>
    </w:pPr>
    <w:rPr>
      <w:rFonts w:ascii="Calibri" w:hAnsi="Calibri"/>
      <w:sz w:val="20"/>
      <w:szCs w:val="20"/>
    </w:rPr>
  </w:style>
  <w:style w:type="paragraph" w:styleId="37">
    <w:name w:val="index 9"/>
    <w:basedOn w:val="1"/>
    <w:next w:val="1"/>
    <w:qFormat/>
    <w:uiPriority w:val="0"/>
    <w:pPr>
      <w:ind w:left="1890" w:hanging="210"/>
      <w:jc w:val="left"/>
    </w:pPr>
    <w:rPr>
      <w:rFonts w:ascii="Calibri" w:hAnsi="Calibri"/>
      <w:sz w:val="20"/>
      <w:szCs w:val="20"/>
    </w:rPr>
  </w:style>
  <w:style w:type="paragraph" w:styleId="38">
    <w:name w:val="toc 2"/>
    <w:basedOn w:val="1"/>
    <w:next w:val="1"/>
    <w:qFormat/>
    <w:uiPriority w:val="39"/>
    <w:pPr>
      <w:tabs>
        <w:tab w:val="right" w:leader="dot" w:pos="9242"/>
      </w:tabs>
    </w:pPr>
    <w:rPr>
      <w:rFonts w:ascii="宋体"/>
      <w:szCs w:val="21"/>
    </w:rPr>
  </w:style>
  <w:style w:type="paragraph" w:styleId="39">
    <w:name w:val="toc 9"/>
    <w:basedOn w:val="1"/>
    <w:next w:val="1"/>
    <w:semiHidden/>
    <w:qFormat/>
    <w:uiPriority w:val="0"/>
    <w:pPr>
      <w:ind w:left="1470"/>
      <w:jc w:val="left"/>
    </w:pPr>
    <w:rPr>
      <w:sz w:val="20"/>
      <w:szCs w:val="20"/>
    </w:rPr>
  </w:style>
  <w:style w:type="paragraph" w:styleId="40">
    <w:name w:val="index 2"/>
    <w:basedOn w:val="1"/>
    <w:next w:val="1"/>
    <w:qFormat/>
    <w:uiPriority w:val="0"/>
    <w:pPr>
      <w:ind w:left="420" w:hanging="210"/>
      <w:jc w:val="left"/>
    </w:pPr>
    <w:rPr>
      <w:rFonts w:ascii="Calibri" w:hAnsi="Calibri"/>
      <w:sz w:val="20"/>
      <w:szCs w:val="20"/>
    </w:rPr>
  </w:style>
  <w:style w:type="paragraph" w:styleId="41">
    <w:name w:val="Title"/>
    <w:basedOn w:val="1"/>
    <w:qFormat/>
    <w:uiPriority w:val="0"/>
    <w:pPr>
      <w:spacing w:before="240" w:after="60"/>
      <w:jc w:val="center"/>
      <w:outlineLvl w:val="0"/>
    </w:pPr>
    <w:rPr>
      <w:rFonts w:ascii="Arial" w:hAnsi="Arial" w:eastAsia="仿宋"/>
      <w:b/>
      <w:sz w:val="32"/>
      <w:szCs w:val="32"/>
    </w:rPr>
  </w:style>
  <w:style w:type="paragraph" w:styleId="42">
    <w:name w:val="Body Text First Indent 2"/>
    <w:basedOn w:val="18"/>
    <w:qFormat/>
    <w:uiPriority w:val="0"/>
  </w:style>
  <w:style w:type="table" w:styleId="44">
    <w:name w:val="Table Grid"/>
    <w:basedOn w:val="43"/>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6">
    <w:name w:val="endnote reference"/>
    <w:semiHidden/>
    <w:qFormat/>
    <w:uiPriority w:val="0"/>
    <w:rPr>
      <w:vertAlign w:val="superscript"/>
    </w:rPr>
  </w:style>
  <w:style w:type="character" w:styleId="47">
    <w:name w:val="page number"/>
    <w:qFormat/>
    <w:uiPriority w:val="0"/>
    <w:rPr>
      <w:rFonts w:ascii="Times New Roman" w:hAnsi="Times New Roman" w:eastAsia="宋体"/>
      <w:sz w:val="18"/>
    </w:rPr>
  </w:style>
  <w:style w:type="character" w:styleId="48">
    <w:name w:val="FollowedHyperlink"/>
    <w:qFormat/>
    <w:uiPriority w:val="0"/>
    <w:rPr>
      <w:color w:val="800080"/>
      <w:u w:val="single"/>
    </w:rPr>
  </w:style>
  <w:style w:type="character" w:styleId="49">
    <w:name w:val="Hyperlink"/>
    <w:qFormat/>
    <w:uiPriority w:val="0"/>
    <w:rPr>
      <w:color w:val="0000FF"/>
      <w:spacing w:val="0"/>
      <w:w w:val="100"/>
      <w:szCs w:val="21"/>
      <w:u w:val="single"/>
    </w:rPr>
  </w:style>
  <w:style w:type="character" w:styleId="50">
    <w:name w:val="footnote reference"/>
    <w:semiHidden/>
    <w:qFormat/>
    <w:uiPriority w:val="0"/>
    <w:rPr>
      <w:vertAlign w:val="superscript"/>
    </w:rPr>
  </w:style>
  <w:style w:type="paragraph" w:customStyle="1" w:styleId="51">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5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3">
    <w:name w:val="注×："/>
    <w:qFormat/>
    <w:uiPriority w:val="0"/>
    <w:pPr>
      <w:widowControl w:val="0"/>
      <w:numPr>
        <w:ilvl w:val="0"/>
        <w:numId w:val="3"/>
      </w:numPr>
      <w:autoSpaceDE w:val="0"/>
      <w:autoSpaceDN w:val="0"/>
      <w:jc w:val="both"/>
    </w:pPr>
    <w:rPr>
      <w:rFonts w:ascii="宋体" w:hAnsi="Times New Roman" w:eastAsia="宋体" w:cs="Times New Roman"/>
      <w:sz w:val="18"/>
      <w:szCs w:val="18"/>
      <w:lang w:val="en-US" w:eastAsia="zh-CN" w:bidi="ar-SA"/>
    </w:rPr>
  </w:style>
  <w:style w:type="paragraph" w:customStyle="1" w:styleId="54">
    <w:name w:val="编号列项（三级）"/>
    <w:qFormat/>
    <w:uiPriority w:val="0"/>
    <w:pPr>
      <w:numPr>
        <w:ilvl w:val="2"/>
        <w:numId w:val="4"/>
      </w:numPr>
    </w:pPr>
    <w:rPr>
      <w:rFonts w:ascii="宋体" w:hAnsi="Times New Roman" w:eastAsia="宋体" w:cs="Times New Roman"/>
      <w:sz w:val="21"/>
      <w:lang w:val="en-US" w:eastAsia="zh-CN" w:bidi="ar-SA"/>
    </w:rPr>
  </w:style>
  <w:style w:type="paragraph" w:customStyle="1" w:styleId="55">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6">
    <w:name w:val="参考文献"/>
    <w:basedOn w:val="1"/>
    <w:next w:val="3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57">
    <w:name w:val="其他标准标志"/>
    <w:basedOn w:val="58"/>
    <w:qFormat/>
    <w:uiPriority w:val="0"/>
    <w:pPr>
      <w:framePr w:w="6101" w:wrap="around" w:vAnchor="page" w:hAnchor="page" w:x="4673" w:y="942"/>
    </w:pPr>
    <w:rPr>
      <w:w w:val="130"/>
    </w:rPr>
  </w:style>
  <w:style w:type="paragraph" w:customStyle="1" w:styleId="58">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59">
    <w:name w:val="五级条标题"/>
    <w:basedOn w:val="60"/>
    <w:next w:val="33"/>
    <w:qFormat/>
    <w:uiPriority w:val="0"/>
    <w:pPr>
      <w:numPr>
        <w:ilvl w:val="5"/>
      </w:numPr>
      <w:outlineLvl w:val="6"/>
    </w:pPr>
  </w:style>
  <w:style w:type="paragraph" w:customStyle="1" w:styleId="60">
    <w:name w:val="四级条标题"/>
    <w:basedOn w:val="61"/>
    <w:next w:val="33"/>
    <w:qFormat/>
    <w:uiPriority w:val="0"/>
    <w:pPr>
      <w:numPr>
        <w:ilvl w:val="4"/>
        <w:numId w:val="5"/>
      </w:numPr>
      <w:outlineLvl w:val="5"/>
    </w:pPr>
  </w:style>
  <w:style w:type="paragraph" w:customStyle="1" w:styleId="61">
    <w:name w:val="三级条标题"/>
    <w:basedOn w:val="62"/>
    <w:next w:val="33"/>
    <w:qFormat/>
    <w:uiPriority w:val="0"/>
    <w:pPr>
      <w:outlineLvl w:val="4"/>
    </w:pPr>
  </w:style>
  <w:style w:type="paragraph" w:customStyle="1" w:styleId="62">
    <w:name w:val="二级条标题"/>
    <w:basedOn w:val="63"/>
    <w:next w:val="33"/>
    <w:qFormat/>
    <w:uiPriority w:val="0"/>
    <w:pPr>
      <w:numPr>
        <w:ilvl w:val="0"/>
        <w:numId w:val="1"/>
      </w:numPr>
      <w:spacing w:before="50" w:after="50"/>
      <w:outlineLvl w:val="3"/>
    </w:pPr>
    <w:rPr>
      <w:rFonts w:hAnsi="黑体"/>
    </w:rPr>
  </w:style>
  <w:style w:type="paragraph" w:customStyle="1" w:styleId="63">
    <w:name w:val="一级条标题"/>
    <w:next w:val="33"/>
    <w:qFormat/>
    <w:uiPriority w:val="0"/>
    <w:pPr>
      <w:numPr>
        <w:ilvl w:val="1"/>
        <w:numId w:val="5"/>
      </w:numPr>
      <w:spacing w:beforeLines="50" w:afterLines="50"/>
      <w:outlineLvl w:val="2"/>
    </w:pPr>
    <w:rPr>
      <w:rFonts w:ascii="黑体" w:hAnsi="Times New Roman" w:eastAsia="黑体" w:cs="Times New Roman"/>
      <w:sz w:val="21"/>
      <w:szCs w:val="21"/>
      <w:lang w:val="en-US" w:eastAsia="zh-CN" w:bidi="ar-SA"/>
    </w:rPr>
  </w:style>
  <w:style w:type="paragraph" w:customStyle="1" w:styleId="64">
    <w:name w:val="列项——（一级）"/>
    <w:qFormat/>
    <w:uiPriority w:val="0"/>
    <w:pPr>
      <w:widowControl w:val="0"/>
      <w:numPr>
        <w:ilvl w:val="0"/>
        <w:numId w:val="6"/>
      </w:numPr>
      <w:jc w:val="both"/>
    </w:pPr>
    <w:rPr>
      <w:rFonts w:ascii="宋体" w:hAnsi="Times New Roman" w:eastAsia="宋体" w:cs="Times New Roman"/>
      <w:sz w:val="21"/>
      <w:lang w:val="en-US" w:eastAsia="zh-CN" w:bidi="ar-SA"/>
    </w:rPr>
  </w:style>
  <w:style w:type="paragraph" w:customStyle="1" w:styleId="65">
    <w:name w:val="列项◆（三级）"/>
    <w:basedOn w:val="1"/>
    <w:qFormat/>
    <w:uiPriority w:val="0"/>
    <w:pPr>
      <w:numPr>
        <w:ilvl w:val="2"/>
        <w:numId w:val="6"/>
      </w:numPr>
    </w:pPr>
    <w:rPr>
      <w:rFonts w:ascii="宋体"/>
      <w:szCs w:val="21"/>
    </w:rPr>
  </w:style>
  <w:style w:type="paragraph" w:customStyle="1" w:styleId="66">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67">
    <w:name w:val="封面正文"/>
    <w:qFormat/>
    <w:uiPriority w:val="0"/>
    <w:pPr>
      <w:jc w:val="both"/>
    </w:pPr>
    <w:rPr>
      <w:rFonts w:ascii="Times New Roman" w:hAnsi="Times New Roman" w:eastAsia="宋体" w:cs="Times New Roman"/>
      <w:lang w:val="en-US" w:eastAsia="zh-CN" w:bidi="ar-SA"/>
    </w:rPr>
  </w:style>
  <w:style w:type="paragraph" w:customStyle="1" w:styleId="68">
    <w:name w:val="封面一致性程度标识2"/>
    <w:basedOn w:val="69"/>
    <w:qFormat/>
    <w:uiPriority w:val="0"/>
    <w:pPr>
      <w:framePr w:wrap="around" w:y="4469"/>
    </w:pPr>
  </w:style>
  <w:style w:type="paragraph" w:customStyle="1" w:styleId="69">
    <w:name w:val="封面一致性程度标识"/>
    <w:basedOn w:val="70"/>
    <w:qFormat/>
    <w:uiPriority w:val="0"/>
    <w:pPr>
      <w:framePr w:wrap="around"/>
      <w:spacing w:before="440"/>
    </w:pPr>
    <w:rPr>
      <w:rFonts w:ascii="宋体" w:eastAsia="宋体"/>
    </w:rPr>
  </w:style>
  <w:style w:type="paragraph" w:customStyle="1" w:styleId="70">
    <w:name w:val="封面标准英文名称"/>
    <w:basedOn w:val="71"/>
    <w:qFormat/>
    <w:uiPriority w:val="0"/>
    <w:pPr>
      <w:framePr w:wrap="around"/>
      <w:spacing w:before="370" w:line="400" w:lineRule="exact"/>
    </w:pPr>
    <w:rPr>
      <w:rFonts w:ascii="Times New Roman"/>
      <w:sz w:val="28"/>
      <w:szCs w:val="28"/>
    </w:rPr>
  </w:style>
  <w:style w:type="paragraph" w:customStyle="1" w:styleId="71">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2">
    <w:name w:val="示例×："/>
    <w:basedOn w:val="73"/>
    <w:qFormat/>
    <w:uiPriority w:val="0"/>
    <w:pPr>
      <w:numPr>
        <w:numId w:val="7"/>
      </w:numPr>
      <w:spacing w:beforeLines="0" w:afterLines="0"/>
      <w:outlineLvl w:val="9"/>
    </w:pPr>
    <w:rPr>
      <w:rFonts w:ascii="宋体" w:eastAsia="宋体"/>
      <w:sz w:val="18"/>
      <w:szCs w:val="18"/>
    </w:rPr>
  </w:style>
  <w:style w:type="paragraph" w:customStyle="1" w:styleId="73">
    <w:name w:val="章标题"/>
    <w:next w:val="33"/>
    <w:qFormat/>
    <w:uiPriority w:val="0"/>
    <w:pPr>
      <w:numPr>
        <w:ilvl w:val="0"/>
        <w:numId w:val="5"/>
      </w:numPr>
      <w:spacing w:beforeLines="100" w:afterLines="100"/>
      <w:jc w:val="both"/>
      <w:outlineLvl w:val="1"/>
    </w:pPr>
    <w:rPr>
      <w:rFonts w:ascii="黑体" w:hAnsi="Times New Roman" w:eastAsia="黑体" w:cs="Times New Roman"/>
      <w:sz w:val="21"/>
      <w:lang w:val="en-US" w:eastAsia="zh-CN" w:bidi="ar-SA"/>
    </w:rPr>
  </w:style>
  <w:style w:type="paragraph" w:customStyle="1" w:styleId="74">
    <w:name w:val="附录标题"/>
    <w:basedOn w:val="33"/>
    <w:next w:val="33"/>
    <w:qFormat/>
    <w:uiPriority w:val="0"/>
    <w:pPr>
      <w:ind w:firstLine="0" w:firstLineChars="0"/>
      <w:jc w:val="center"/>
    </w:pPr>
    <w:rPr>
      <w:rFonts w:ascii="黑体" w:eastAsia="黑体"/>
    </w:rPr>
  </w:style>
  <w:style w:type="paragraph" w:customStyle="1" w:styleId="75">
    <w:name w:val="其他实施日期"/>
    <w:basedOn w:val="76"/>
    <w:qFormat/>
    <w:uiPriority w:val="0"/>
    <w:pPr>
      <w:framePr w:wrap="around"/>
    </w:pPr>
  </w:style>
  <w:style w:type="paragraph" w:customStyle="1" w:styleId="76">
    <w:name w:val="实施日期"/>
    <w:basedOn w:val="77"/>
    <w:qFormat/>
    <w:uiPriority w:val="0"/>
    <w:pPr>
      <w:framePr w:wrap="around" w:vAnchor="page" w:hAnchor="text"/>
      <w:jc w:val="right"/>
    </w:pPr>
  </w:style>
  <w:style w:type="paragraph" w:customStyle="1" w:styleId="77">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8">
    <w:name w:val="封面标准名称2"/>
    <w:basedOn w:val="71"/>
    <w:qFormat/>
    <w:uiPriority w:val="0"/>
    <w:pPr>
      <w:framePr w:wrap="around" w:y="4469"/>
      <w:spacing w:beforeLines="630"/>
    </w:pPr>
  </w:style>
  <w:style w:type="paragraph" w:customStyle="1" w:styleId="79">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80">
    <w:name w:val="标准书眉一"/>
    <w:qFormat/>
    <w:uiPriority w:val="0"/>
    <w:pPr>
      <w:jc w:val="both"/>
    </w:pPr>
    <w:rPr>
      <w:rFonts w:ascii="Times New Roman" w:hAnsi="Times New Roman" w:eastAsia="宋体" w:cs="Times New Roman"/>
      <w:lang w:val="en-US" w:eastAsia="zh-CN" w:bidi="ar-SA"/>
    </w:rPr>
  </w:style>
  <w:style w:type="paragraph" w:customStyle="1" w:styleId="81">
    <w:name w:val="附录字母编号列项（一级）"/>
    <w:qFormat/>
    <w:uiPriority w:val="0"/>
    <w:pPr>
      <w:numPr>
        <w:ilvl w:val="0"/>
        <w:numId w:val="8"/>
      </w:numPr>
    </w:pPr>
    <w:rPr>
      <w:rFonts w:ascii="宋体" w:hAnsi="Times New Roman" w:eastAsia="宋体" w:cs="Times New Roman"/>
      <w:sz w:val="21"/>
      <w:lang w:val="en-US" w:eastAsia="zh-CN" w:bidi="ar-SA"/>
    </w:rPr>
  </w:style>
  <w:style w:type="paragraph" w:customStyle="1" w:styleId="82">
    <w:name w:val="数字编号列项（二级）"/>
    <w:qFormat/>
    <w:uiPriority w:val="0"/>
    <w:pPr>
      <w:numPr>
        <w:ilvl w:val="1"/>
        <w:numId w:val="4"/>
      </w:numPr>
      <w:jc w:val="both"/>
    </w:pPr>
    <w:rPr>
      <w:rFonts w:ascii="宋体" w:hAnsi="Times New Roman" w:eastAsia="宋体" w:cs="Times New Roman"/>
      <w:sz w:val="21"/>
      <w:lang w:val="en-US" w:eastAsia="zh-CN" w:bidi="ar-SA"/>
    </w:rPr>
  </w:style>
  <w:style w:type="paragraph" w:customStyle="1" w:styleId="83">
    <w:name w:val="附录二级条标题"/>
    <w:basedOn w:val="1"/>
    <w:next w:val="33"/>
    <w:qFormat/>
    <w:uiPriority w:val="0"/>
    <w:pPr>
      <w:widowControl/>
      <w:numPr>
        <w:ilvl w:val="3"/>
        <w:numId w:val="9"/>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84">
    <w:name w:val="二级无"/>
    <w:basedOn w:val="62"/>
    <w:qFormat/>
    <w:uiPriority w:val="0"/>
    <w:pPr>
      <w:spacing w:beforeLines="0" w:afterLines="0"/>
    </w:pPr>
    <w:rPr>
      <w:rFonts w:ascii="宋体" w:eastAsia="宋体"/>
    </w:rPr>
  </w:style>
  <w:style w:type="paragraph" w:customStyle="1" w:styleId="85">
    <w:name w:val="正文公式编号制表符"/>
    <w:basedOn w:val="33"/>
    <w:next w:val="33"/>
    <w:qFormat/>
    <w:uiPriority w:val="0"/>
    <w:pPr>
      <w:ind w:firstLine="0" w:firstLineChars="0"/>
    </w:pPr>
  </w:style>
  <w:style w:type="paragraph" w:customStyle="1" w:styleId="86">
    <w:name w:val="附录数字编号列项（二级）"/>
    <w:qFormat/>
    <w:uiPriority w:val="0"/>
    <w:pPr>
      <w:numPr>
        <w:ilvl w:val="1"/>
        <w:numId w:val="8"/>
      </w:numPr>
    </w:pPr>
    <w:rPr>
      <w:rFonts w:ascii="宋体" w:hAnsi="Times New Roman" w:eastAsia="宋体" w:cs="Times New Roman"/>
      <w:sz w:val="21"/>
      <w:lang w:val="en-US" w:eastAsia="zh-CN" w:bidi="ar-SA"/>
    </w:rPr>
  </w:style>
  <w:style w:type="paragraph" w:customStyle="1" w:styleId="87">
    <w:name w:val="标准书眉_偶数页"/>
    <w:basedOn w:val="88"/>
    <w:next w:val="1"/>
    <w:qFormat/>
    <w:uiPriority w:val="0"/>
    <w:pPr>
      <w:tabs>
        <w:tab w:val="center" w:pos="4154"/>
        <w:tab w:val="right" w:pos="8306"/>
      </w:tabs>
      <w:jc w:val="left"/>
    </w:pPr>
  </w:style>
  <w:style w:type="paragraph" w:customStyle="1" w:styleId="88">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89">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90">
    <w:name w:val="示例"/>
    <w:next w:val="55"/>
    <w:qFormat/>
    <w:uiPriority w:val="0"/>
    <w:pPr>
      <w:widowControl w:val="0"/>
      <w:numPr>
        <w:ilvl w:val="0"/>
        <w:numId w:val="10"/>
      </w:numPr>
      <w:jc w:val="both"/>
    </w:pPr>
    <w:rPr>
      <w:rFonts w:ascii="宋体" w:hAnsi="Times New Roman" w:eastAsia="宋体" w:cs="Times New Roman"/>
      <w:sz w:val="18"/>
      <w:szCs w:val="18"/>
      <w:lang w:val="en-US" w:eastAsia="zh-CN" w:bidi="ar-SA"/>
    </w:rPr>
  </w:style>
  <w:style w:type="paragraph" w:customStyle="1" w:styleId="91">
    <w:name w:val="正文表标题"/>
    <w:next w:val="33"/>
    <w:qFormat/>
    <w:uiPriority w:val="0"/>
    <w:pPr>
      <w:numPr>
        <w:ilvl w:val="0"/>
        <w:numId w:val="11"/>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92">
    <w:name w:val="附录章标题"/>
    <w:next w:val="33"/>
    <w:qFormat/>
    <w:uiPriority w:val="0"/>
    <w:pPr>
      <w:numPr>
        <w:ilvl w:val="1"/>
        <w:numId w:val="9"/>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93">
    <w:name w:val="封面标准文稿类别2"/>
    <w:basedOn w:val="94"/>
    <w:qFormat/>
    <w:uiPriority w:val="0"/>
    <w:pPr>
      <w:framePr w:wrap="around" w:y="4469"/>
    </w:pPr>
  </w:style>
  <w:style w:type="paragraph" w:customStyle="1" w:styleId="94">
    <w:name w:val="封面标准文稿类别"/>
    <w:basedOn w:val="69"/>
    <w:qFormat/>
    <w:uiPriority w:val="0"/>
    <w:pPr>
      <w:framePr w:wrap="around"/>
      <w:spacing w:after="160" w:line="240" w:lineRule="auto"/>
    </w:pPr>
    <w:rPr>
      <w:sz w:val="24"/>
    </w:rPr>
  </w:style>
  <w:style w:type="paragraph" w:customStyle="1" w:styleId="95">
    <w:name w:val="正文图标题"/>
    <w:next w:val="33"/>
    <w:qFormat/>
    <w:uiPriority w:val="0"/>
    <w:pPr>
      <w:numPr>
        <w:ilvl w:val="0"/>
        <w:numId w:val="12"/>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96">
    <w:name w:val="三级无"/>
    <w:basedOn w:val="61"/>
    <w:qFormat/>
    <w:uiPriority w:val="0"/>
    <w:pPr>
      <w:spacing w:beforeLines="0" w:afterLines="0"/>
    </w:pPr>
    <w:rPr>
      <w:rFonts w:ascii="宋体" w:eastAsia="宋体"/>
    </w:rPr>
  </w:style>
  <w:style w:type="paragraph" w:customStyle="1" w:styleId="97">
    <w:name w:val="发布部门"/>
    <w:next w:val="33"/>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98">
    <w:name w:val="附录三级无"/>
    <w:basedOn w:val="99"/>
    <w:qFormat/>
    <w:uiPriority w:val="0"/>
    <w:pPr>
      <w:tabs>
        <w:tab w:val="left" w:pos="360"/>
      </w:tabs>
      <w:spacing w:beforeLines="0" w:afterLines="0"/>
    </w:pPr>
    <w:rPr>
      <w:rFonts w:ascii="宋体" w:eastAsia="宋体"/>
      <w:szCs w:val="21"/>
    </w:rPr>
  </w:style>
  <w:style w:type="paragraph" w:customStyle="1" w:styleId="99">
    <w:name w:val="附录三级条标题"/>
    <w:basedOn w:val="83"/>
    <w:next w:val="33"/>
    <w:qFormat/>
    <w:uiPriority w:val="0"/>
    <w:pPr>
      <w:numPr>
        <w:ilvl w:val="0"/>
        <w:numId w:val="0"/>
      </w:numPr>
      <w:outlineLvl w:val="4"/>
    </w:pPr>
  </w:style>
  <w:style w:type="paragraph" w:customStyle="1" w:styleId="100">
    <w:name w:val="附录五级无"/>
    <w:basedOn w:val="101"/>
    <w:qFormat/>
    <w:uiPriority w:val="0"/>
    <w:pPr>
      <w:tabs>
        <w:tab w:val="left" w:pos="360"/>
      </w:tabs>
      <w:spacing w:beforeLines="0" w:afterLines="0"/>
    </w:pPr>
    <w:rPr>
      <w:rFonts w:ascii="宋体" w:eastAsia="宋体"/>
      <w:szCs w:val="21"/>
    </w:rPr>
  </w:style>
  <w:style w:type="paragraph" w:customStyle="1" w:styleId="101">
    <w:name w:val="附录五级条标题"/>
    <w:basedOn w:val="102"/>
    <w:next w:val="33"/>
    <w:qFormat/>
    <w:uiPriority w:val="0"/>
    <w:pPr>
      <w:numPr>
        <w:ilvl w:val="0"/>
        <w:numId w:val="0"/>
      </w:numPr>
      <w:tabs>
        <w:tab w:val="left" w:pos="360"/>
      </w:tabs>
      <w:outlineLvl w:val="6"/>
    </w:pPr>
  </w:style>
  <w:style w:type="paragraph" w:customStyle="1" w:styleId="102">
    <w:name w:val="附录四级条标题"/>
    <w:basedOn w:val="99"/>
    <w:next w:val="33"/>
    <w:qFormat/>
    <w:uiPriority w:val="0"/>
    <w:pPr>
      <w:numPr>
        <w:ilvl w:val="5"/>
        <w:numId w:val="9"/>
      </w:numPr>
      <w:outlineLvl w:val="5"/>
    </w:pPr>
  </w:style>
  <w:style w:type="paragraph" w:customStyle="1" w:styleId="103">
    <w:name w:val="注×：（正文）"/>
    <w:qFormat/>
    <w:uiPriority w:val="0"/>
    <w:pPr>
      <w:numPr>
        <w:ilvl w:val="0"/>
        <w:numId w:val="13"/>
      </w:numPr>
      <w:jc w:val="both"/>
    </w:pPr>
    <w:rPr>
      <w:rFonts w:ascii="宋体" w:hAnsi="Times New Roman" w:eastAsia="宋体" w:cs="Times New Roman"/>
      <w:sz w:val="18"/>
      <w:szCs w:val="18"/>
      <w:lang w:val="en-US" w:eastAsia="zh-CN" w:bidi="ar-SA"/>
    </w:rPr>
  </w:style>
  <w:style w:type="paragraph" w:customStyle="1" w:styleId="104">
    <w:name w:val="附录图标题"/>
    <w:basedOn w:val="1"/>
    <w:next w:val="33"/>
    <w:qFormat/>
    <w:uiPriority w:val="0"/>
    <w:pPr>
      <w:numPr>
        <w:ilvl w:val="1"/>
        <w:numId w:val="14"/>
      </w:numPr>
      <w:tabs>
        <w:tab w:val="left" w:pos="363"/>
      </w:tabs>
      <w:spacing w:beforeLines="50" w:afterLines="50"/>
      <w:ind w:left="0" w:firstLine="0"/>
      <w:jc w:val="center"/>
    </w:pPr>
    <w:rPr>
      <w:rFonts w:ascii="黑体" w:eastAsia="黑体"/>
      <w:szCs w:val="21"/>
    </w:rPr>
  </w:style>
  <w:style w:type="paragraph" w:customStyle="1" w:styleId="105">
    <w:name w:val="前言、引言标题"/>
    <w:next w:val="33"/>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06">
    <w:name w:val="附录一级条标题"/>
    <w:basedOn w:val="92"/>
    <w:next w:val="33"/>
    <w:qFormat/>
    <w:uiPriority w:val="0"/>
    <w:pPr>
      <w:numPr>
        <w:ilvl w:val="2"/>
      </w:numPr>
      <w:autoSpaceDN w:val="0"/>
      <w:spacing w:beforeLines="50" w:afterLines="50"/>
      <w:outlineLvl w:val="2"/>
    </w:pPr>
  </w:style>
  <w:style w:type="paragraph" w:customStyle="1" w:styleId="107">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8">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09">
    <w:name w:val="条文脚注"/>
    <w:basedOn w:val="34"/>
    <w:qFormat/>
    <w:uiPriority w:val="0"/>
    <w:pPr>
      <w:numPr>
        <w:numId w:val="0"/>
      </w:numPr>
      <w:jc w:val="both"/>
    </w:pPr>
  </w:style>
  <w:style w:type="paragraph" w:customStyle="1" w:styleId="110">
    <w:name w:val="列项●（二级）"/>
    <w:qFormat/>
    <w:uiPriority w:val="0"/>
    <w:pPr>
      <w:numPr>
        <w:ilvl w:val="1"/>
        <w:numId w:val="6"/>
      </w:numPr>
      <w:tabs>
        <w:tab w:val="left" w:pos="840"/>
      </w:tabs>
      <w:jc w:val="both"/>
    </w:pPr>
    <w:rPr>
      <w:rFonts w:ascii="宋体" w:hAnsi="Times New Roman" w:eastAsia="宋体" w:cs="Times New Roman"/>
      <w:sz w:val="21"/>
      <w:lang w:val="en-US" w:eastAsia="zh-CN" w:bidi="ar-SA"/>
    </w:rPr>
  </w:style>
  <w:style w:type="paragraph" w:customStyle="1" w:styleId="111">
    <w:name w:val="附录二级无"/>
    <w:basedOn w:val="83"/>
    <w:qFormat/>
    <w:uiPriority w:val="0"/>
    <w:pPr>
      <w:tabs>
        <w:tab w:val="clear" w:pos="360"/>
      </w:tabs>
      <w:spacing w:beforeLines="0" w:afterLines="0"/>
    </w:pPr>
    <w:rPr>
      <w:rFonts w:ascii="宋体" w:eastAsia="宋体"/>
      <w:szCs w:val="21"/>
    </w:rPr>
  </w:style>
  <w:style w:type="paragraph" w:customStyle="1" w:styleId="112">
    <w:name w:val="一级无"/>
    <w:basedOn w:val="63"/>
    <w:qFormat/>
    <w:uiPriority w:val="0"/>
    <w:pPr>
      <w:spacing w:beforeLines="0" w:afterLines="0"/>
    </w:pPr>
    <w:rPr>
      <w:rFonts w:ascii="宋体" w:eastAsia="宋体"/>
    </w:rPr>
  </w:style>
  <w:style w:type="paragraph" w:customStyle="1" w:styleId="113">
    <w:name w:val="附录一级无"/>
    <w:basedOn w:val="106"/>
    <w:qFormat/>
    <w:uiPriority w:val="0"/>
    <w:pPr>
      <w:tabs>
        <w:tab w:val="clear" w:pos="360"/>
      </w:tabs>
      <w:spacing w:beforeLines="0" w:afterLines="0"/>
    </w:pPr>
    <w:rPr>
      <w:rFonts w:ascii="宋体" w:eastAsia="宋体"/>
      <w:szCs w:val="21"/>
    </w:rPr>
  </w:style>
  <w:style w:type="paragraph" w:customStyle="1" w:styleId="114">
    <w:name w:val="五级无"/>
    <w:basedOn w:val="59"/>
    <w:qFormat/>
    <w:uiPriority w:val="0"/>
    <w:pPr>
      <w:spacing w:beforeLines="0" w:afterLines="0"/>
    </w:pPr>
    <w:rPr>
      <w:rFonts w:ascii="宋体" w:eastAsia="宋体"/>
    </w:rPr>
  </w:style>
  <w:style w:type="paragraph" w:customStyle="1" w:styleId="115">
    <w:name w:val="图标脚注说明"/>
    <w:basedOn w:val="33"/>
    <w:qFormat/>
    <w:uiPriority w:val="0"/>
    <w:pPr>
      <w:ind w:left="840" w:hanging="420" w:firstLineChars="0"/>
    </w:pPr>
    <w:rPr>
      <w:sz w:val="18"/>
      <w:szCs w:val="18"/>
    </w:rPr>
  </w:style>
  <w:style w:type="paragraph" w:customStyle="1" w:styleId="116">
    <w:name w:val="封面标准文稿编辑信息2"/>
    <w:basedOn w:val="117"/>
    <w:qFormat/>
    <w:uiPriority w:val="0"/>
    <w:pPr>
      <w:framePr w:wrap="around" w:y="4469"/>
    </w:pPr>
  </w:style>
  <w:style w:type="paragraph" w:customStyle="1" w:styleId="117">
    <w:name w:val="封面标准文稿编辑信息"/>
    <w:basedOn w:val="94"/>
    <w:qFormat/>
    <w:uiPriority w:val="0"/>
    <w:pPr>
      <w:framePr w:wrap="around"/>
      <w:spacing w:before="180" w:line="180" w:lineRule="exact"/>
    </w:pPr>
    <w:rPr>
      <w:sz w:val="21"/>
    </w:rPr>
  </w:style>
  <w:style w:type="paragraph" w:customStyle="1" w:styleId="118">
    <w:name w:val="图表脚注说明"/>
    <w:basedOn w:val="1"/>
    <w:qFormat/>
    <w:uiPriority w:val="0"/>
    <w:pPr>
      <w:numPr>
        <w:ilvl w:val="0"/>
        <w:numId w:val="15"/>
      </w:numPr>
    </w:pPr>
    <w:rPr>
      <w:rFonts w:ascii="宋体"/>
      <w:sz w:val="18"/>
      <w:szCs w:val="18"/>
    </w:rPr>
  </w:style>
  <w:style w:type="paragraph" w:customStyle="1" w:styleId="119">
    <w:name w:val="图的脚注"/>
    <w:next w:val="33"/>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0">
    <w:name w:val="注：（正文）"/>
    <w:basedOn w:val="121"/>
    <w:next w:val="33"/>
    <w:qFormat/>
    <w:uiPriority w:val="0"/>
  </w:style>
  <w:style w:type="paragraph" w:customStyle="1" w:styleId="121">
    <w:name w:val="注："/>
    <w:next w:val="33"/>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122">
    <w:name w:val="首示例"/>
    <w:next w:val="33"/>
    <w:link w:val="147"/>
    <w:qFormat/>
    <w:uiPriority w:val="0"/>
    <w:pPr>
      <w:numPr>
        <w:ilvl w:val="0"/>
        <w:numId w:val="16"/>
      </w:numPr>
      <w:tabs>
        <w:tab w:val="left" w:pos="360"/>
      </w:tabs>
      <w:ind w:firstLine="0"/>
    </w:pPr>
    <w:rPr>
      <w:rFonts w:ascii="宋体" w:hAnsi="宋体" w:eastAsia="宋体" w:cs="Times New Roman"/>
      <w:kern w:val="2"/>
      <w:sz w:val="18"/>
      <w:szCs w:val="18"/>
      <w:lang w:val="en-US" w:eastAsia="zh-CN" w:bidi="ar-SA"/>
    </w:rPr>
  </w:style>
  <w:style w:type="paragraph" w:customStyle="1" w:styleId="123">
    <w:name w:val="参考文献、索引标题"/>
    <w:basedOn w:val="1"/>
    <w:next w:val="3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24">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25">
    <w:name w:val="其他发布部门"/>
    <w:basedOn w:val="97"/>
    <w:qFormat/>
    <w:uiPriority w:val="0"/>
    <w:pPr>
      <w:framePr w:wrap="around" w:y="15310"/>
      <w:spacing w:line="0" w:lineRule="atLeast"/>
    </w:pPr>
    <w:rPr>
      <w:rFonts w:ascii="黑体" w:eastAsia="黑体"/>
      <w:b w:val="0"/>
    </w:rPr>
  </w:style>
  <w:style w:type="paragraph" w:customStyle="1" w:styleId="126">
    <w:name w:val="附录四级无"/>
    <w:basedOn w:val="102"/>
    <w:qFormat/>
    <w:uiPriority w:val="0"/>
    <w:pPr>
      <w:tabs>
        <w:tab w:val="clear" w:pos="360"/>
      </w:tabs>
      <w:spacing w:beforeLines="0" w:afterLines="0"/>
    </w:pPr>
    <w:rPr>
      <w:rFonts w:ascii="宋体" w:eastAsia="宋体"/>
      <w:szCs w:val="21"/>
    </w:rPr>
  </w:style>
  <w:style w:type="paragraph" w:customStyle="1" w:styleId="127">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28">
    <w:name w:val="我的表格文字"/>
    <w:basedOn w:val="1"/>
    <w:qFormat/>
    <w:uiPriority w:val="0"/>
    <w:pPr>
      <w:autoSpaceDE w:val="0"/>
      <w:spacing w:line="440" w:lineRule="exact"/>
    </w:pPr>
    <w:rPr>
      <w:rFonts w:ascii="仿宋_GB2312" w:hAnsi="Arial" w:cs="宋体"/>
      <w:szCs w:val="21"/>
    </w:rPr>
  </w:style>
  <w:style w:type="paragraph" w:customStyle="1" w:styleId="129">
    <w:name w:val="封面标准英文名称2"/>
    <w:basedOn w:val="70"/>
    <w:qFormat/>
    <w:uiPriority w:val="0"/>
    <w:pPr>
      <w:framePr w:wrap="around" w:y="4469"/>
    </w:pPr>
  </w:style>
  <w:style w:type="paragraph" w:customStyle="1" w:styleId="130">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31">
    <w:name w:val="终结线"/>
    <w:basedOn w:val="1"/>
    <w:qFormat/>
    <w:uiPriority w:val="0"/>
    <w:pPr>
      <w:framePr w:hSpace="181" w:vSpace="181" w:wrap="around" w:vAnchor="text" w:hAnchor="margin" w:xAlign="center" w:y="285"/>
    </w:pPr>
  </w:style>
  <w:style w:type="paragraph" w:customStyle="1" w:styleId="132">
    <w:name w:val="字母编号列项（一级）"/>
    <w:qFormat/>
    <w:uiPriority w:val="0"/>
    <w:pPr>
      <w:numPr>
        <w:ilvl w:val="0"/>
        <w:numId w:val="4"/>
      </w:numPr>
      <w:jc w:val="both"/>
    </w:pPr>
    <w:rPr>
      <w:rFonts w:ascii="宋体" w:hAnsi="Times New Roman" w:eastAsia="宋体" w:cs="Times New Roman"/>
      <w:sz w:val="21"/>
      <w:lang w:val="en-US" w:eastAsia="zh-CN" w:bidi="ar-SA"/>
    </w:rPr>
  </w:style>
  <w:style w:type="paragraph" w:customStyle="1" w:styleId="133">
    <w:name w:val="附录表标题"/>
    <w:basedOn w:val="1"/>
    <w:next w:val="33"/>
    <w:qFormat/>
    <w:uiPriority w:val="0"/>
    <w:pPr>
      <w:numPr>
        <w:ilvl w:val="1"/>
        <w:numId w:val="17"/>
      </w:numPr>
      <w:tabs>
        <w:tab w:val="left" w:pos="180"/>
      </w:tabs>
      <w:spacing w:beforeLines="50" w:afterLines="50"/>
      <w:ind w:left="0" w:firstLine="0"/>
      <w:jc w:val="center"/>
    </w:pPr>
    <w:rPr>
      <w:rFonts w:ascii="黑体" w:eastAsia="黑体"/>
      <w:szCs w:val="21"/>
    </w:rPr>
  </w:style>
  <w:style w:type="paragraph" w:customStyle="1" w:styleId="134">
    <w:name w:val="附录标识"/>
    <w:basedOn w:val="1"/>
    <w:next w:val="33"/>
    <w:qFormat/>
    <w:uiPriority w:val="0"/>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35">
    <w:name w:val="附录表标号"/>
    <w:basedOn w:val="1"/>
    <w:next w:val="33"/>
    <w:qFormat/>
    <w:uiPriority w:val="0"/>
    <w:pPr>
      <w:numPr>
        <w:ilvl w:val="0"/>
        <w:numId w:val="17"/>
      </w:numPr>
      <w:tabs>
        <w:tab w:val="clear" w:pos="0"/>
      </w:tabs>
      <w:spacing w:line="14" w:lineRule="exact"/>
      <w:ind w:left="811" w:hanging="448"/>
      <w:jc w:val="center"/>
      <w:outlineLvl w:val="0"/>
    </w:pPr>
    <w:rPr>
      <w:color w:val="FFFFFF"/>
    </w:rPr>
  </w:style>
  <w:style w:type="paragraph" w:customStyle="1" w:styleId="136">
    <w:name w:val="附录图标号"/>
    <w:basedOn w:val="1"/>
    <w:qFormat/>
    <w:uiPriority w:val="0"/>
    <w:pPr>
      <w:keepNext/>
      <w:pageBreakBefore/>
      <w:widowControl/>
      <w:numPr>
        <w:ilvl w:val="0"/>
        <w:numId w:val="14"/>
      </w:numPr>
      <w:spacing w:line="14" w:lineRule="exact"/>
      <w:ind w:left="0" w:firstLine="363"/>
      <w:jc w:val="center"/>
      <w:outlineLvl w:val="0"/>
    </w:pPr>
    <w:rPr>
      <w:color w:val="FFFFFF"/>
    </w:rPr>
  </w:style>
  <w:style w:type="paragraph" w:customStyle="1" w:styleId="137">
    <w:name w:val="其他发布日期"/>
    <w:basedOn w:val="77"/>
    <w:qFormat/>
    <w:uiPriority w:val="0"/>
    <w:pPr>
      <w:framePr w:wrap="around" w:vAnchor="page" w:hAnchor="text" w:x="1419"/>
    </w:pPr>
  </w:style>
  <w:style w:type="paragraph" w:customStyle="1" w:styleId="138">
    <w:name w:val="附录公式"/>
    <w:basedOn w:val="33"/>
    <w:next w:val="33"/>
    <w:link w:val="148"/>
    <w:qFormat/>
    <w:uiPriority w:val="0"/>
  </w:style>
  <w:style w:type="paragraph" w:customStyle="1" w:styleId="139">
    <w:name w:val="四级无"/>
    <w:basedOn w:val="60"/>
    <w:qFormat/>
    <w:uiPriority w:val="0"/>
    <w:pPr>
      <w:spacing w:beforeLines="0" w:afterLines="0"/>
    </w:pPr>
    <w:rPr>
      <w:rFonts w:ascii="宋体" w:eastAsia="宋体"/>
    </w:rPr>
  </w:style>
  <w:style w:type="paragraph" w:customStyle="1" w:styleId="140">
    <w:name w:val="附录公式编号制表符"/>
    <w:basedOn w:val="1"/>
    <w:next w:val="33"/>
    <w:qFormat/>
    <w:uiPriority w:val="0"/>
    <w:pPr>
      <w:widowControl/>
      <w:tabs>
        <w:tab w:val="center" w:pos="4201"/>
        <w:tab w:val="right" w:leader="dot" w:pos="9298"/>
      </w:tabs>
      <w:autoSpaceDE w:val="0"/>
      <w:autoSpaceDN w:val="0"/>
    </w:pPr>
    <w:rPr>
      <w:rFonts w:ascii="宋体"/>
      <w:kern w:val="0"/>
      <w:szCs w:val="20"/>
    </w:r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示例后文字"/>
    <w:basedOn w:val="33"/>
    <w:next w:val="33"/>
    <w:qFormat/>
    <w:uiPriority w:val="0"/>
    <w:pPr>
      <w:ind w:firstLine="360"/>
    </w:pPr>
    <w:rPr>
      <w:sz w:val="18"/>
    </w:rPr>
  </w:style>
  <w:style w:type="paragraph" w:customStyle="1" w:styleId="143">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44">
    <w:name w:val="目次、标准名称标题"/>
    <w:basedOn w:val="1"/>
    <w:next w:val="3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character" w:customStyle="1" w:styleId="145">
    <w:name w:val="段 Char"/>
    <w:link w:val="33"/>
    <w:qFormat/>
    <w:uiPriority w:val="0"/>
    <w:rPr>
      <w:rFonts w:ascii="宋体"/>
      <w:sz w:val="21"/>
      <w:lang w:val="en-US" w:eastAsia="zh-CN" w:bidi="ar-SA"/>
    </w:rPr>
  </w:style>
  <w:style w:type="character" w:customStyle="1" w:styleId="146">
    <w:name w:val="发布"/>
    <w:qFormat/>
    <w:uiPriority w:val="0"/>
    <w:rPr>
      <w:rFonts w:ascii="黑体" w:eastAsia="黑体"/>
      <w:spacing w:val="85"/>
      <w:w w:val="100"/>
      <w:position w:val="3"/>
      <w:sz w:val="28"/>
      <w:szCs w:val="28"/>
    </w:rPr>
  </w:style>
  <w:style w:type="character" w:customStyle="1" w:styleId="147">
    <w:name w:val="首示例 Char"/>
    <w:link w:val="122"/>
    <w:qFormat/>
    <w:uiPriority w:val="0"/>
    <w:rPr>
      <w:rFonts w:ascii="宋体" w:hAnsi="宋体"/>
      <w:kern w:val="2"/>
      <w:sz w:val="18"/>
      <w:szCs w:val="18"/>
      <w:lang w:val="en-US" w:eastAsia="zh-CN" w:bidi="ar-SA"/>
    </w:rPr>
  </w:style>
  <w:style w:type="character" w:customStyle="1" w:styleId="148">
    <w:name w:val="附录公式 Char"/>
    <w:basedOn w:val="145"/>
    <w:link w:val="138"/>
    <w:qFormat/>
    <w:uiPriority w:val="0"/>
    <w:rPr>
      <w:rFonts w:ascii="宋体"/>
      <w:sz w:val="21"/>
      <w:lang w:val="en-US" w:eastAsia="zh-CN" w:bidi="ar-SA"/>
    </w:rPr>
  </w:style>
  <w:style w:type="character" w:customStyle="1" w:styleId="149">
    <w:name w:val="批注框文本 字符"/>
    <w:basedOn w:val="45"/>
    <w:link w:val="26"/>
    <w:qFormat/>
    <w:uiPriority w:val="0"/>
    <w:rPr>
      <w:kern w:val="2"/>
      <w:sz w:val="18"/>
      <w:szCs w:val="18"/>
    </w:rPr>
  </w:style>
  <w:style w:type="character" w:customStyle="1" w:styleId="150">
    <w:name w:val="日期 字符"/>
    <w:basedOn w:val="45"/>
    <w:link w:val="24"/>
    <w:qFormat/>
    <w:uiPriority w:val="0"/>
    <w:rPr>
      <w:kern w:val="2"/>
      <w:sz w:val="21"/>
      <w:szCs w:val="24"/>
    </w:rPr>
  </w:style>
  <w:style w:type="paragraph" w:customStyle="1" w:styleId="151">
    <w:name w:val="标准文件_附录标识"/>
    <w:next w:val="152"/>
    <w:qFormat/>
    <w:uiPriority w:val="0"/>
    <w:pPr>
      <w:numPr>
        <w:ilvl w:val="0"/>
        <w:numId w:val="9"/>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152">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53">
    <w:name w:val="Table Paragraph"/>
    <w:basedOn w:val="1"/>
    <w:qFormat/>
    <w:uiPriority w:val="1"/>
  </w:style>
  <w:style w:type="paragraph" w:customStyle="1" w:styleId="154">
    <w:name w:val="WPSOffice手动目录 1"/>
    <w:qFormat/>
    <w:uiPriority w:val="0"/>
    <w:rPr>
      <w:rFonts w:ascii="Times New Roman" w:hAnsi="Times New Roman" w:eastAsia="宋体" w:cs="Times New Roman"/>
      <w:lang w:val="en-US" w:eastAsia="zh-CN" w:bidi="ar-SA"/>
    </w:rPr>
  </w:style>
  <w:style w:type="character" w:customStyle="1" w:styleId="155">
    <w:name w:val="标题 1 字符"/>
    <w:basedOn w:val="45"/>
    <w:link w:val="2"/>
    <w:uiPriority w:val="0"/>
    <w:rPr>
      <w:b/>
      <w:bCs/>
      <w:kern w:val="44"/>
      <w:sz w:val="44"/>
      <w:szCs w:val="44"/>
    </w:rPr>
  </w:style>
  <w:style w:type="paragraph" w:customStyle="1" w:styleId="156">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0013;&#21704;&#22269;&#38469;&#26631;&#20934;&#25991;&#26412;.doc.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31"/>
    <customShpInfo spid="_x0000_s1030"/>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03063C-9EC8-4297-B1C1-D17B72F1D225}">
  <ds:schemaRefs/>
</ds:datastoreItem>
</file>

<file path=docProps/app.xml><?xml version="1.0" encoding="utf-8"?>
<Properties xmlns="http://schemas.openxmlformats.org/officeDocument/2006/extended-properties" xmlns:vt="http://schemas.openxmlformats.org/officeDocument/2006/docPropsVTypes">
  <Template>中哈国际标准文本.doc</Template>
  <Pages>8</Pages>
  <Words>2484</Words>
  <Characters>3243</Characters>
  <Lines>27</Lines>
  <Paragraphs>7</Paragraphs>
  <TotalTime>12</TotalTime>
  <ScaleCrop>false</ScaleCrop>
  <LinksUpToDate>false</LinksUpToDate>
  <CharactersWithSpaces>3525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2021-08-05T03:24:00Z</dcterms:created>
  <cp:lastPrinted>2023-04-27T02:26:00Z</cp:lastPrinted>
  <dcterms:modified xsi:type="dcterms:W3CDTF">2024-09-27T07:30:04Z</dcterms:modified>
  <dc:title>标准名称</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2B1FF35BABCB4476A945E43F0E4F7108</vt:lpwstr>
  </property>
</Properties>
</file>