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E68" w:rsidRDefault="00906EDB">
      <w:pPr>
        <w:pStyle w:val="a6"/>
        <w:framePr w:wrap="around"/>
      </w:pPr>
      <w:r>
        <w:rPr>
          <w:rFonts w:ascii="Times New Roman"/>
        </w:rPr>
        <w:t>ICS</w:t>
      </w:r>
      <w:r>
        <w:rPr>
          <w:rFonts w:hAnsi="黑体"/>
        </w:rPr>
        <w:t> </w:t>
      </w:r>
      <w:r>
        <w:rPr>
          <w:rFonts w:hint="eastAsia"/>
        </w:rPr>
        <w:t>01.040.35</w:t>
      </w:r>
    </w:p>
    <w:p w:rsidR="00C11E68" w:rsidRDefault="00906EDB">
      <w:pPr>
        <w:pStyle w:val="a6"/>
        <w:framePr w:wrap="around"/>
        <w:jc w:val="both"/>
        <w:rPr>
          <w:rFonts w:ascii="Times New Roman" w:eastAsia="宋体"/>
          <w:b/>
          <w:color w:val="000000"/>
          <w:w w:val="130"/>
          <w:sz w:val="96"/>
          <w:szCs w:val="96"/>
        </w:rPr>
      </w:pPr>
      <w:r>
        <w:rPr>
          <w:rFonts w:hint="eastAsia"/>
        </w:rPr>
        <w:t>CCS L70</w:t>
      </w:r>
    </w:p>
    <w:p w:rsidR="00C11E68" w:rsidRDefault="00906EDB">
      <w:pPr>
        <w:pStyle w:val="a7"/>
        <w:framePr w:w="4796" w:h="1449" w:hRule="exact" w:wrap="around" w:vAnchor="page" w:hAnchor="page" w:x="6362" w:y="815"/>
      </w:pPr>
      <w:r>
        <w:rPr>
          <w:rFonts w:hint="eastAsia"/>
          <w:color w:val="000000"/>
          <w:w w:val="130"/>
        </w:rPr>
        <w:t>DB3207</w:t>
      </w:r>
    </w:p>
    <w:p w:rsidR="00C11E68" w:rsidRDefault="00906EDB">
      <w:pPr>
        <w:pStyle w:val="a8"/>
        <w:framePr w:wrap="around"/>
      </w:pPr>
      <w:r>
        <w:rPr>
          <w:rFonts w:ascii="黑体" w:eastAsia="黑体" w:hAnsi="宋体" w:hint="eastAsia"/>
          <w:b w:val="0"/>
          <w:bCs w:val="0"/>
          <w:color w:val="000000"/>
          <w:spacing w:val="-40"/>
          <w:w w:val="100"/>
          <w:szCs w:val="52"/>
        </w:rPr>
        <w:t>连云港市地方标准</w:t>
      </w:r>
    </w:p>
    <w:p w:rsidR="00C11E68" w:rsidRDefault="00906EDB">
      <w:pPr>
        <w:pStyle w:val="2"/>
        <w:framePr w:wrap="around"/>
      </w:pPr>
      <w:r>
        <w:rPr>
          <w:rFonts w:ascii="Times New Roman" w:hint="eastAsia"/>
        </w:rPr>
        <w:t>DB3207</w:t>
      </w:r>
      <w:r>
        <w:rPr>
          <w:rFonts w:ascii="Times New Roman"/>
        </w:rPr>
        <w:t xml:space="preserve">/T </w:t>
      </w:r>
      <w:r>
        <w:fldChar w:fldCharType="begin">
          <w:ffData>
            <w:name w:val="StdNo1"/>
            <w:enabled/>
            <w:calcOnExit w:val="0"/>
            <w:textInput>
              <w:default w:val="XXXXX"/>
            </w:textInput>
          </w:ffData>
        </w:fldChar>
      </w:r>
      <w:bookmarkStart w:id="0" w:name="StdNo1"/>
      <w:r>
        <w:instrText xml:space="preserve"> FORMTEXT </w:instrText>
      </w:r>
      <w:r>
        <w:fldChar w:fldCharType="separate"/>
      </w:r>
      <w:r>
        <w:t>XXXXX</w:t>
      </w:r>
      <w:r>
        <w:fldChar w:fldCharType="end"/>
      </w:r>
      <w:bookmarkEnd w:id="0"/>
      <w:r>
        <w:t>—</w:t>
      </w:r>
      <w:r>
        <w:fldChar w:fldCharType="begin">
          <w:ffData>
            <w:name w:val="StdNo2"/>
            <w:enabled/>
            <w:calcOnExit w:val="0"/>
            <w:textInput>
              <w:default w:val="XXXX"/>
              <w:maxLength w:val="4"/>
            </w:textInput>
          </w:ffData>
        </w:fldChar>
      </w:r>
      <w:bookmarkStart w:id="1" w:name="StdNo2"/>
      <w:r>
        <w:instrText xml:space="preserve"> FORMTEXT </w:instrText>
      </w:r>
      <w:r>
        <w:fldChar w:fldCharType="separate"/>
      </w:r>
      <w:r>
        <w:t>XXXX</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C11E68">
        <w:tc>
          <w:tcPr>
            <w:tcW w:w="9356" w:type="dxa"/>
            <w:tcBorders>
              <w:top w:val="nil"/>
              <w:left w:val="nil"/>
              <w:bottom w:val="nil"/>
              <w:right w:val="nil"/>
            </w:tcBorders>
          </w:tcPr>
          <w:p w:rsidR="00C11E68" w:rsidRDefault="00906EDB">
            <w:pPr>
              <w:pStyle w:val="a9"/>
              <w:framePr w:wrap="around"/>
            </w:pPr>
            <w:r>
              <w:rPr>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w14:anchorId="461CCDD1" id="DT" o:spid="_x0000_s1026"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" stroked="f"/>
                  </w:pict>
                </mc:Fallback>
              </mc:AlternateContent>
            </w:r>
            <w:r>
              <w:fldChar w:fldCharType="begin">
                <w:ffData>
                  <w:name w:val="DT"/>
                  <w:enabled/>
                  <w:calcOnExit w:val="0"/>
                  <w:textInput/>
                </w:ffData>
              </w:fldChar>
            </w:r>
            <w:bookmarkStart w:id="2" w:name="DT"/>
            <w:r>
              <w:instrText xml:space="preserve"> FORMTEXT </w:instrText>
            </w:r>
            <w:r>
              <w:fldChar w:fldCharType="separate"/>
            </w:r>
            <w:r>
              <w:t>     </w:t>
            </w:r>
            <w:r>
              <w:fldChar w:fldCharType="end"/>
            </w:r>
            <w:bookmarkEnd w:id="2"/>
          </w:p>
        </w:tc>
      </w:tr>
    </w:tbl>
    <w:p w:rsidR="00C11E68" w:rsidRDefault="00C11E68">
      <w:pPr>
        <w:pStyle w:val="2"/>
        <w:framePr w:wrap="around"/>
      </w:pPr>
    </w:p>
    <w:p w:rsidR="00C11E68" w:rsidRDefault="00C11E68">
      <w:pPr>
        <w:pStyle w:val="2"/>
        <w:framePr w:wrap="around"/>
      </w:pPr>
    </w:p>
    <w:p w:rsidR="00C11E68" w:rsidRDefault="00906EDB">
      <w:pPr>
        <w:pStyle w:val="aa"/>
        <w:framePr w:w="10284" w:wrap="around" w:x="1153" w:y="6048"/>
      </w:pPr>
      <w:r>
        <w:rPr>
          <w:rFonts w:hint="eastAsia"/>
        </w:rPr>
        <w:t>互联网医院网络门诊服务工作规范</w:t>
      </w:r>
    </w:p>
    <w:p w:rsidR="00C11E68" w:rsidRDefault="00906EDB">
      <w:pPr>
        <w:pStyle w:val="aa"/>
        <w:framePr w:w="10284" w:wrap="around" w:x="1153" w:y="6048"/>
        <w:spacing w:line="360" w:lineRule="exact"/>
        <w:rPr>
          <w:color w:val="000000"/>
          <w:sz w:val="24"/>
          <w:szCs w:val="24"/>
        </w:rPr>
      </w:pPr>
      <w:r>
        <w:rPr>
          <w:rFonts w:hint="eastAsia"/>
          <w:color w:val="000000"/>
          <w:sz w:val="24"/>
          <w:szCs w:val="24"/>
        </w:rPr>
        <w:t xml:space="preserve">Internet hospital network outpatient service specification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C11E68">
        <w:trPr>
          <w:trHeight w:val="837"/>
        </w:trPr>
        <w:tc>
          <w:tcPr>
            <w:tcW w:w="9855" w:type="dxa"/>
            <w:tcBorders>
              <w:top w:val="nil"/>
              <w:left w:val="nil"/>
              <w:bottom w:val="nil"/>
              <w:right w:val="nil"/>
            </w:tcBorders>
          </w:tcPr>
          <w:p w:rsidR="00F6526E" w:rsidRDefault="00F6526E" w:rsidP="00F6526E">
            <w:pPr>
              <w:pStyle w:val="ad"/>
              <w:framePr w:w="10284" w:wrap="around" w:x="1153" w:y="6048"/>
              <w:rPr>
                <w:rFonts w:hint="eastAsia"/>
              </w:rPr>
            </w:pPr>
            <w:r>
              <w:rPr>
                <w:rFonts w:hint="eastAsia"/>
              </w:rPr>
              <w:t>（征求意见稿）</w:t>
            </w:r>
          </w:p>
          <w:p w:rsidR="00C11E68" w:rsidRDefault="00906EDB">
            <w:pPr>
              <w:pStyle w:val="ab"/>
              <w:framePr w:w="10284" w:wrap="around" w:x="1153" w:y="6048"/>
            </w:pPr>
            <w:bookmarkStart w:id="3" w:name="_GoBack"/>
            <w:bookmarkEnd w:id="3"/>
            <w:r>
              <w:rPr>
                <w:noProof/>
              </w:rPr>
              <mc:AlternateContent>
                <mc:Choice Requires="wps">
                  <w:drawing>
                    <wp:anchor distT="0" distB="0" distL="114300" distR="114300" simplePos="0" relativeHeight="251660288" behindDoc="1" locked="0" layoutInCell="1" allowOverlap="1">
                      <wp:simplePos x="0" y="0"/>
                      <wp:positionH relativeFrom="column">
                        <wp:posOffset>3293110</wp:posOffset>
                      </wp:positionH>
                      <wp:positionV relativeFrom="paragraph">
                        <wp:posOffset>179705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w14:anchorId="4F93BC89" id="LB" o:spid="_x0000_s1026" style="position:absolute;left:0;text-align:left;margin-left:259.3pt;margin-top:14.1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" stroked="f"/>
                  </w:pict>
                </mc:Fallback>
              </mc:AlternateContent>
            </w:r>
            <w:r>
              <w:rPr>
                <w:noProof/>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w14:anchorId="6E05F351" id="RQ" o:spid="_x0000_s1026" style="position:absolute;left:0;text-align:left;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" stroked="f">
                      <w10:anchorlock/>
                    </v:rect>
                  </w:pict>
                </mc:Fallback>
              </mc:AlternateContent>
            </w:r>
          </w:p>
        </w:tc>
      </w:tr>
      <w:tr w:rsidR="00C11E68">
        <w:tc>
          <w:tcPr>
            <w:tcW w:w="9855" w:type="dxa"/>
            <w:tcBorders>
              <w:top w:val="nil"/>
              <w:left w:val="nil"/>
              <w:bottom w:val="nil"/>
              <w:right w:val="nil"/>
            </w:tcBorders>
          </w:tcPr>
          <w:p w:rsidR="00C11E68" w:rsidRDefault="00C11E68">
            <w:pPr>
              <w:pStyle w:val="ae"/>
              <w:framePr w:w="10284" w:wrap="around" w:x="1153" w:y="6048"/>
            </w:pPr>
          </w:p>
        </w:tc>
      </w:tr>
      <w:tr w:rsidR="00C11E68">
        <w:tc>
          <w:tcPr>
            <w:tcW w:w="9855" w:type="dxa"/>
            <w:tcBorders>
              <w:top w:val="nil"/>
              <w:left w:val="nil"/>
              <w:bottom w:val="nil"/>
              <w:right w:val="nil"/>
            </w:tcBorders>
          </w:tcPr>
          <w:p w:rsidR="00C11E68" w:rsidRDefault="00C11E68">
            <w:pPr>
              <w:pStyle w:val="ae"/>
              <w:framePr w:w="10284" w:wrap="around" w:x="1153" w:y="6048"/>
              <w:spacing w:line="360" w:lineRule="auto"/>
            </w:pPr>
          </w:p>
        </w:tc>
      </w:tr>
    </w:tbl>
    <w:p w:rsidR="00C11E68" w:rsidRDefault="00906EDB">
      <w:pPr>
        <w:pStyle w:val="af"/>
        <w:framePr w:wrap="around" w:hAnchor="page" w:x="1111" w:y="14082"/>
        <w:spacing w:line="360" w:lineRule="auto"/>
      </w:pPr>
      <w:r>
        <w:rPr>
          <w:rFonts w:ascii="黑体"/>
        </w:rPr>
        <w:fldChar w:fldCharType="begin">
          <w:ffData>
            <w:name w:val="FY"/>
            <w:enabled/>
            <w:calcOnExit w:val="0"/>
            <w:textInput>
              <w:default w:val="XXXX"/>
              <w:maxLength w:val="4"/>
            </w:textInput>
          </w:ffData>
        </w:fldChar>
      </w:r>
      <w:bookmarkStart w:id="4"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rPr>
          <w:rFonts w:ascii="黑体"/>
        </w:rPr>
        <w:t>-</w:t>
      </w:r>
      <w:r>
        <w:rPr>
          <w:rFonts w:ascii="黑体"/>
        </w:rPr>
        <w:fldChar w:fldCharType="begin">
          <w:ffData>
            <w:name w:val="FM"/>
            <w:enabled/>
            <w:calcOnExit w:val="0"/>
            <w:textInput>
              <w:default w:val="XX"/>
              <w:maxLength w:val="2"/>
            </w:textInput>
          </w:ffData>
        </w:fldChar>
      </w:r>
      <w:bookmarkStart w:id="5" w:name="F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ascii="黑体"/>
        </w:rPr>
        <w:t>-</w:t>
      </w:r>
      <w:r>
        <w:rPr>
          <w:rFonts w:ascii="黑体"/>
        </w:rPr>
        <w:fldChar w:fldCharType="begin">
          <w:ffData>
            <w:name w:val="FD"/>
            <w:enabled/>
            <w:calcOnExit w:val="0"/>
            <w:textInput>
              <w:default w:val="XX"/>
              <w:maxLength w:val="2"/>
            </w:textInput>
          </w:ffData>
        </w:fldChar>
      </w:r>
      <w:bookmarkStart w:id="6"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r>
        <w:rPr>
          <w:noProof/>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073C9ECD" id="直线 1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">
                <w10:wrap anchory="page"/>
                <w10:anchorlock/>
              </v:line>
            </w:pict>
          </mc:Fallback>
        </mc:AlternateContent>
      </w:r>
    </w:p>
    <w:p w:rsidR="00C11E68" w:rsidRDefault="00906EDB">
      <w:pPr>
        <w:pStyle w:val="af1"/>
        <w:framePr w:wrap="around" w:hAnchor="page" w:x="6601" w:y="13992"/>
        <w:spacing w:line="360" w:lineRule="auto"/>
      </w:pPr>
      <w:r>
        <w:rPr>
          <w:rFonts w:ascii="黑体"/>
        </w:rPr>
        <w:fldChar w:fldCharType="begin">
          <w:ffData>
            <w:name w:val="SY"/>
            <w:enabled/>
            <w:calcOnExit w:val="0"/>
            <w:textInput>
              <w:default w:val="XXXX"/>
              <w:maxLength w:val="4"/>
            </w:textInput>
          </w:ffData>
        </w:fldChar>
      </w:r>
      <w:bookmarkStart w:id="7"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rPr>
          <w:rFonts w:ascii="黑体"/>
        </w:rPr>
        <w:t>-</w:t>
      </w:r>
      <w:r>
        <w:rPr>
          <w:rFonts w:ascii="黑体"/>
        </w:rPr>
        <w:fldChar w:fldCharType="begin">
          <w:ffData>
            <w:name w:val="SM"/>
            <w:enabled/>
            <w:calcOnExit w:val="0"/>
            <w:textInput>
              <w:default w:val="XX"/>
              <w:maxLength w:val="2"/>
            </w:textInput>
          </w:ffData>
        </w:fldChar>
      </w:r>
      <w:bookmarkStart w:id="8"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ascii="黑体"/>
        </w:rPr>
        <w:t>-</w:t>
      </w:r>
      <w:r>
        <w:rPr>
          <w:rFonts w:ascii="黑体"/>
        </w:rPr>
        <w:fldChar w:fldCharType="begin">
          <w:ffData>
            <w:name w:val="SD"/>
            <w:enabled/>
            <w:calcOnExit w:val="0"/>
            <w:textInput>
              <w:default w:val="XX"/>
              <w:maxLength w:val="2"/>
            </w:textInput>
          </w:ffData>
        </w:fldChar>
      </w:r>
      <w:bookmarkStart w:id="9"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C11E68" w:rsidRDefault="00906EDB">
      <w:pPr>
        <w:pStyle w:val="af3"/>
        <w:framePr w:wrap="around" w:x="1564" w:y="14810"/>
        <w:spacing w:line="360" w:lineRule="auto"/>
      </w:pPr>
      <w:r>
        <w:rPr>
          <w:rFonts w:ascii="黑体" w:eastAsia="黑体" w:hAnsi="黑体" w:cs="黑体" w:hint="eastAsia"/>
          <w:b w:val="0"/>
          <w:bCs/>
        </w:rPr>
        <w:t xml:space="preserve"> </w:t>
      </w:r>
      <w:r>
        <w:rPr>
          <w:rFonts w:ascii="黑体" w:eastAsia="黑体" w:hAnsi="黑体" w:cs="黑体" w:hint="eastAsia"/>
          <w:b w:val="0"/>
          <w:bCs/>
          <w:szCs w:val="28"/>
        </w:rPr>
        <w:t xml:space="preserve"> 连云港市市场监督管理局 发布</w:t>
      </w:r>
    </w:p>
    <w:p w:rsidR="00C11E68" w:rsidRDefault="00906EDB">
      <w:pPr>
        <w:pStyle w:val="af4"/>
        <w:spacing w:line="360" w:lineRule="auto"/>
        <w:ind w:firstLineChars="0" w:firstLine="0"/>
      </w:pPr>
      <w:r>
        <w:rPr>
          <w:noProof/>
        </w:rPr>
        <mc:AlternateContent>
          <mc:Choice Requires="wps">
            <w:drawing>
              <wp:anchor distT="0" distB="0" distL="114300" distR="114300" simplePos="0" relativeHeight="251663360" behindDoc="0" locked="0" layoutInCell="1" allowOverlap="1">
                <wp:simplePos x="0" y="0"/>
                <wp:positionH relativeFrom="column">
                  <wp:posOffset>27940</wp:posOffset>
                </wp:positionH>
                <wp:positionV relativeFrom="paragraph">
                  <wp:posOffset>1854200</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3122600B" id="直线 11"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2.2pt,146pt" to="484.1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"/>
            </w:pict>
          </mc:Fallback>
        </mc:AlternateContent>
      </w:r>
    </w:p>
    <w:p w:rsidR="00C11E68" w:rsidRDefault="00C11E68"/>
    <w:p w:rsidR="00C11E68" w:rsidRDefault="00C11E68"/>
    <w:p w:rsidR="00C11E68" w:rsidRDefault="00C11E68"/>
    <w:p w:rsidR="00C11E68" w:rsidRDefault="00906EDB">
      <w:pPr>
        <w:tabs>
          <w:tab w:val="left" w:pos="8368"/>
        </w:tabs>
        <w:jc w:val="left"/>
        <w:sectPr w:rsidR="00C11E68">
          <w:pgSz w:w="11906" w:h="16838"/>
          <w:pgMar w:top="567" w:right="850" w:bottom="1134" w:left="1418" w:header="0" w:footer="0" w:gutter="0"/>
          <w:pgNumType w:start="1"/>
          <w:cols w:space="720"/>
          <w:docGrid w:type="lines" w:linePitch="312"/>
        </w:sectPr>
      </w:pPr>
      <w:r>
        <w:rPr>
          <w:rFonts w:hint="eastAsia"/>
        </w:rPr>
        <w:tab/>
      </w:r>
    </w:p>
    <w:p w:rsidR="00C11E68" w:rsidRDefault="00906EDB">
      <w:pPr>
        <w:pStyle w:val="af5"/>
        <w:spacing w:line="360" w:lineRule="auto"/>
      </w:pPr>
      <w:r>
        <w:rPr>
          <w:rFonts w:hint="eastAsia"/>
        </w:rPr>
        <w:lastRenderedPageBreak/>
        <w:t>前</w:t>
      </w:r>
      <w:bookmarkStart w:id="10" w:name="BKQY"/>
      <w:r>
        <w:rPr>
          <w:rFonts w:hAnsi="黑体"/>
        </w:rPr>
        <w:t>  </w:t>
      </w:r>
      <w:r>
        <w:rPr>
          <w:rFonts w:hint="eastAsia"/>
        </w:rPr>
        <w:t>言</w:t>
      </w:r>
      <w:bookmarkEnd w:id="10"/>
    </w:p>
    <w:p w:rsidR="00C11E68" w:rsidRDefault="00906EDB">
      <w:pPr>
        <w:pStyle w:val="af4"/>
        <w:spacing w:line="360" w:lineRule="auto"/>
      </w:pPr>
      <w:r>
        <w:rPr>
          <w:rFonts w:hint="eastAsia"/>
        </w:rPr>
        <w:t>本文件按GB/T 1.1-2020《标准化工作导则 第1部分：标准化文件的结构和起草规则》规定编写。</w:t>
      </w:r>
    </w:p>
    <w:p w:rsidR="00C11E68" w:rsidRDefault="00906EDB">
      <w:pPr>
        <w:pStyle w:val="af4"/>
        <w:spacing w:line="360" w:lineRule="auto"/>
      </w:pPr>
      <w:r>
        <w:rPr>
          <w:rFonts w:hint="eastAsia"/>
        </w:rPr>
        <w:t>请注意本文件的某些内容可能涉及专利。本文件的发布机构不承担识别专利的责任。</w:t>
      </w:r>
    </w:p>
    <w:p w:rsidR="00C11E68" w:rsidRDefault="00906EDB">
      <w:pPr>
        <w:pStyle w:val="af4"/>
        <w:spacing w:line="360" w:lineRule="auto"/>
      </w:pPr>
      <w:r>
        <w:rPr>
          <w:rFonts w:hint="eastAsia"/>
        </w:rPr>
        <w:t>本文件由连云港市第一人民医院提出。</w:t>
      </w:r>
    </w:p>
    <w:p w:rsidR="00C11E68" w:rsidRDefault="00906EDB">
      <w:pPr>
        <w:pStyle w:val="af4"/>
        <w:spacing w:line="360" w:lineRule="auto"/>
      </w:pPr>
      <w:r>
        <w:rPr>
          <w:rFonts w:hint="eastAsia"/>
        </w:rPr>
        <w:t>本文件由连云港市卫生健康委员会归口。</w:t>
      </w:r>
    </w:p>
    <w:p w:rsidR="00C11E68" w:rsidRDefault="00906EDB">
      <w:pPr>
        <w:pStyle w:val="af4"/>
        <w:spacing w:line="360" w:lineRule="auto"/>
      </w:pPr>
      <w:r>
        <w:rPr>
          <w:rFonts w:hint="eastAsia"/>
        </w:rPr>
        <w:t>本文件起草单位：连云港市第一人民医院、连云港市标准化研究中心。</w:t>
      </w:r>
    </w:p>
    <w:p w:rsidR="00C11E68" w:rsidRDefault="00906EDB">
      <w:pPr>
        <w:pStyle w:val="af4"/>
        <w:spacing w:line="360" w:lineRule="auto"/>
      </w:pPr>
      <w:r>
        <w:rPr>
          <w:rFonts w:hint="eastAsia"/>
        </w:rPr>
        <w:t>本文件主要起草人：滕芸、邵然、陈群、万艳、陈静、施辉、胡蓉、高娟、潘晓盼。</w:t>
      </w:r>
    </w:p>
    <w:p w:rsidR="00C11E68" w:rsidRDefault="00C11E68">
      <w:pPr>
        <w:pStyle w:val="af4"/>
        <w:spacing w:line="360" w:lineRule="auto"/>
        <w:ind w:firstLine="640"/>
        <w:rPr>
          <w:color w:val="0000FF"/>
          <w:sz w:val="32"/>
          <w:szCs w:val="32"/>
        </w:rPr>
        <w:sectPr w:rsidR="00C11E68">
          <w:headerReference w:type="default" r:id="rId8"/>
          <w:footerReference w:type="default" r:id="rId9"/>
          <w:pgSz w:w="11906" w:h="16838"/>
          <w:pgMar w:top="567" w:right="1134" w:bottom="1134" w:left="1418" w:header="1418" w:footer="1134" w:gutter="0"/>
          <w:pgNumType w:fmt="upperRoman" w:start="1"/>
          <w:cols w:space="720"/>
          <w:formProt w:val="0"/>
          <w:docGrid w:type="lines" w:linePitch="312"/>
        </w:sectPr>
      </w:pPr>
    </w:p>
    <w:p w:rsidR="00C11E68" w:rsidRDefault="00C11E68">
      <w:pPr>
        <w:pStyle w:val="af4"/>
        <w:spacing w:line="360" w:lineRule="auto"/>
        <w:ind w:firstLineChars="0" w:firstLine="0"/>
        <w:rPr>
          <w:rFonts w:ascii="黑体" w:eastAsia="黑体" w:hAnsi="黑体" w:cs="黑体"/>
          <w:sz w:val="32"/>
          <w:szCs w:val="32"/>
        </w:rPr>
      </w:pPr>
    </w:p>
    <w:p w:rsidR="00C11E68" w:rsidRDefault="00906EDB">
      <w:pPr>
        <w:pStyle w:val="af4"/>
        <w:spacing w:line="360" w:lineRule="auto"/>
        <w:ind w:firstLineChars="0" w:firstLine="0"/>
        <w:jc w:val="center"/>
        <w:rPr>
          <w:rFonts w:ascii="黑体" w:eastAsia="黑体" w:hAnsi="黑体" w:cs="黑体"/>
          <w:sz w:val="32"/>
          <w:szCs w:val="32"/>
        </w:rPr>
      </w:pPr>
      <w:r>
        <w:rPr>
          <w:rFonts w:ascii="黑体" w:eastAsia="黑体" w:hAnsi="黑体" w:cs="黑体" w:hint="eastAsia"/>
          <w:sz w:val="32"/>
          <w:szCs w:val="32"/>
        </w:rPr>
        <w:t>互联网医院网络门诊服务工作规范</w:t>
      </w:r>
    </w:p>
    <w:p w:rsidR="00C11E68" w:rsidRDefault="00C11E68">
      <w:pPr>
        <w:spacing w:line="360" w:lineRule="auto"/>
        <w:rPr>
          <w:rFonts w:ascii="黑体" w:eastAsia="黑体" w:hAnsi="黑体" w:cs="黑体"/>
        </w:rPr>
      </w:pPr>
    </w:p>
    <w:p w:rsidR="00C11E68" w:rsidRDefault="00906EDB">
      <w:pPr>
        <w:spacing w:line="360" w:lineRule="auto"/>
        <w:rPr>
          <w:rFonts w:ascii="黑体" w:eastAsia="黑体" w:hAnsi="黑体" w:cs="黑体"/>
        </w:rPr>
      </w:pPr>
      <w:r>
        <w:rPr>
          <w:rFonts w:ascii="黑体" w:eastAsia="黑体" w:hAnsi="黑体" w:cs="黑体" w:hint="eastAsia"/>
        </w:rPr>
        <w:t>1  范围</w:t>
      </w:r>
    </w:p>
    <w:p w:rsidR="00C11E68" w:rsidRDefault="00906EDB">
      <w:pPr>
        <w:spacing w:line="360" w:lineRule="auto"/>
        <w:ind w:firstLineChars="200" w:firstLine="420"/>
      </w:pPr>
      <w:r>
        <w:rPr>
          <w:rFonts w:hint="eastAsia"/>
        </w:rPr>
        <w:t>本文件规定了互联网医院网络门诊服务工作的总体要求、人员要求、设备要求、服务平台要求、服务工作流程、服务工作要求、监督、评价、投诉处理与改进和档案管理的要求。</w:t>
      </w:r>
    </w:p>
    <w:p w:rsidR="00C11E68" w:rsidRDefault="00906EDB">
      <w:pPr>
        <w:spacing w:line="360" w:lineRule="auto"/>
        <w:ind w:firstLineChars="200" w:firstLine="420"/>
      </w:pPr>
      <w:r>
        <w:rPr>
          <w:rFonts w:hint="eastAsia"/>
        </w:rPr>
        <w:t>本文件适用于互联网医院网络门诊诊疗服务的服务工作相关要求。</w:t>
      </w:r>
    </w:p>
    <w:p w:rsidR="00C11E68" w:rsidRDefault="00906EDB">
      <w:pPr>
        <w:spacing w:line="360" w:lineRule="auto"/>
        <w:rPr>
          <w:rFonts w:ascii="黑体" w:eastAsia="黑体" w:hAnsi="黑体" w:cs="黑体"/>
        </w:rPr>
      </w:pPr>
      <w:r>
        <w:rPr>
          <w:rFonts w:ascii="黑体" w:eastAsia="黑体" w:hAnsi="黑体" w:cs="黑体" w:hint="eastAsia"/>
        </w:rPr>
        <w:t>2  规范性引用文件</w:t>
      </w:r>
    </w:p>
    <w:p w:rsidR="00C11E68" w:rsidRDefault="00906EDB">
      <w:pPr>
        <w:spacing w:line="360" w:lineRule="auto"/>
        <w:ind w:firstLineChars="200" w:firstLine="420"/>
        <w:rPr>
          <w:rFonts w:ascii="宋体" w:hAnsi="宋体" w:cs="宋体"/>
        </w:rPr>
      </w:pPr>
      <w:r>
        <w:rPr>
          <w:rFonts w:ascii="宋体"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11E68" w:rsidRDefault="00906EDB">
      <w:pPr>
        <w:spacing w:line="360" w:lineRule="auto"/>
        <w:ind w:firstLineChars="200" w:firstLine="420"/>
        <w:rPr>
          <w:rFonts w:ascii="宋体" w:hAnsi="宋体" w:cs="宋体"/>
        </w:rPr>
      </w:pPr>
      <w:r>
        <w:rPr>
          <w:rFonts w:ascii="宋体" w:hAnsi="宋体" w:cs="宋体" w:hint="eastAsia"/>
        </w:rPr>
        <w:t>GB/T 19038  顾客满意测评模型和方法指南</w:t>
      </w:r>
    </w:p>
    <w:p w:rsidR="00C11E68" w:rsidRDefault="00906EDB">
      <w:pPr>
        <w:spacing w:line="360" w:lineRule="auto"/>
        <w:ind w:firstLineChars="200" w:firstLine="420"/>
      </w:pPr>
      <w:r>
        <w:rPr>
          <w:rFonts w:ascii="宋体" w:hAnsi="宋体" w:cs="宋体" w:hint="eastAsia"/>
        </w:rPr>
        <w:t>GB/T 19039  顾客满意测评通则</w:t>
      </w:r>
    </w:p>
    <w:p w:rsidR="00C11E68" w:rsidRDefault="00906EDB">
      <w:pPr>
        <w:spacing w:line="360" w:lineRule="auto"/>
        <w:rPr>
          <w:rFonts w:ascii="黑体" w:eastAsia="黑体" w:hAnsi="黑体" w:cs="黑体"/>
        </w:rPr>
      </w:pPr>
      <w:r>
        <w:rPr>
          <w:rFonts w:ascii="黑体" w:eastAsia="黑体" w:hAnsi="黑体" w:cs="黑体" w:hint="eastAsia"/>
        </w:rPr>
        <w:t>3  术语和定义</w:t>
      </w:r>
    </w:p>
    <w:p w:rsidR="00C11E68" w:rsidRDefault="00906EDB">
      <w:pPr>
        <w:spacing w:line="360" w:lineRule="auto"/>
        <w:ind w:firstLineChars="200" w:firstLine="420"/>
      </w:pPr>
      <w:r>
        <w:rPr>
          <w:rFonts w:hint="eastAsia"/>
        </w:rPr>
        <w:t>下列术语和定义适用于本文件。</w:t>
      </w:r>
    </w:p>
    <w:p w:rsidR="00C11E68" w:rsidRDefault="00906EDB">
      <w:pPr>
        <w:spacing w:line="360" w:lineRule="auto"/>
        <w:rPr>
          <w:rFonts w:ascii="黑体" w:eastAsia="黑体" w:hAnsi="黑体" w:cs="黑体"/>
        </w:rPr>
      </w:pPr>
      <w:r>
        <w:rPr>
          <w:rFonts w:ascii="黑体" w:eastAsia="黑体" w:hAnsi="黑体" w:cs="黑体" w:hint="eastAsia"/>
        </w:rPr>
        <w:t>3.1</w:t>
      </w:r>
    </w:p>
    <w:p w:rsidR="00C11E68" w:rsidRDefault="00906EDB">
      <w:pPr>
        <w:spacing w:line="360" w:lineRule="auto"/>
        <w:ind w:firstLineChars="200" w:firstLine="420"/>
        <w:rPr>
          <w:rFonts w:ascii="黑体" w:eastAsia="黑体" w:hAnsi="黑体" w:cs="黑体"/>
        </w:rPr>
      </w:pPr>
      <w:r>
        <w:rPr>
          <w:rFonts w:ascii="黑体" w:eastAsia="黑体" w:hAnsi="黑体" w:cs="黑体" w:hint="eastAsia"/>
        </w:rPr>
        <w:t>互联网医院 internet hospital</w:t>
      </w:r>
    </w:p>
    <w:p w:rsidR="00C11E68" w:rsidRDefault="00906EDB">
      <w:pPr>
        <w:spacing w:line="360" w:lineRule="auto"/>
        <w:ind w:firstLineChars="200" w:firstLine="420"/>
        <w:rPr>
          <w:rFonts w:ascii="宋体" w:hAnsi="宋体" w:cs="宋体"/>
        </w:rPr>
      </w:pPr>
      <w:r>
        <w:rPr>
          <w:rFonts w:ascii="宋体" w:hAnsi="宋体" w:cs="宋体" w:hint="eastAsia"/>
        </w:rPr>
        <w:t>通过互联网技术提供医疗服务的一类医疗机构，按照《医疗机构管理条例》和《互联网医院管理办法（试行）》等法律法规进行管理。具体包括两种类型，一是实体医疗机构建设的互联网医院，二是第三方依托实体医疗机构设置的互联网医院。利用“互联网+”技术提供线上诊疗相关服务。</w:t>
      </w:r>
    </w:p>
    <w:p w:rsidR="00C11E68" w:rsidRDefault="00906EDB">
      <w:pPr>
        <w:spacing w:line="360" w:lineRule="auto"/>
        <w:rPr>
          <w:rFonts w:ascii="黑体" w:eastAsia="黑体" w:hAnsi="黑体" w:cs="黑体"/>
        </w:rPr>
      </w:pPr>
      <w:r>
        <w:rPr>
          <w:rFonts w:ascii="黑体" w:eastAsia="黑体" w:hAnsi="黑体" w:cs="黑体" w:hint="eastAsia"/>
        </w:rPr>
        <w:t xml:space="preserve">3.2 </w:t>
      </w:r>
    </w:p>
    <w:p w:rsidR="00C11E68" w:rsidRDefault="00906EDB">
      <w:pPr>
        <w:spacing w:line="360" w:lineRule="auto"/>
        <w:ind w:firstLineChars="200" w:firstLine="420"/>
        <w:rPr>
          <w:rFonts w:ascii="黑体" w:eastAsia="黑体" w:hAnsi="黑体" w:cs="黑体"/>
        </w:rPr>
      </w:pPr>
      <w:r>
        <w:rPr>
          <w:rFonts w:ascii="黑体" w:eastAsia="黑体" w:hAnsi="黑体" w:cs="黑体" w:hint="eastAsia"/>
        </w:rPr>
        <w:t>网络门诊 online outpatient service</w:t>
      </w:r>
    </w:p>
    <w:p w:rsidR="00C11E68" w:rsidRDefault="00906EDB">
      <w:pPr>
        <w:spacing w:line="360" w:lineRule="auto"/>
        <w:ind w:firstLineChars="200" w:firstLine="420"/>
        <w:rPr>
          <w:rFonts w:ascii="黑体" w:eastAsia="黑体" w:hAnsi="黑体" w:cs="黑体"/>
        </w:rPr>
      </w:pPr>
      <w:r>
        <w:rPr>
          <w:rFonts w:ascii="宋体" w:hAnsi="宋体" w:cs="宋体" w:hint="eastAsia"/>
        </w:rPr>
        <w:t>医师通过互联网医院为部分常见病、慢性病患者提供复诊服务及其他咨询服务。</w:t>
      </w:r>
    </w:p>
    <w:p w:rsidR="00C11E68" w:rsidRDefault="00906EDB">
      <w:pPr>
        <w:spacing w:line="360" w:lineRule="auto"/>
        <w:rPr>
          <w:rFonts w:ascii="黑体" w:eastAsia="黑体" w:hAnsi="黑体" w:cs="黑体"/>
        </w:rPr>
      </w:pPr>
      <w:r>
        <w:rPr>
          <w:rFonts w:ascii="黑体" w:eastAsia="黑体" w:hAnsi="黑体" w:cs="黑体" w:hint="eastAsia"/>
        </w:rPr>
        <w:t xml:space="preserve">3.3 </w:t>
      </w:r>
    </w:p>
    <w:p w:rsidR="00C11E68" w:rsidRDefault="00906EDB">
      <w:pPr>
        <w:spacing w:line="360" w:lineRule="auto"/>
        <w:ind w:firstLineChars="200" w:firstLine="420"/>
        <w:rPr>
          <w:rFonts w:ascii="黑体" w:eastAsia="黑体" w:hAnsi="黑体" w:cs="黑体"/>
        </w:rPr>
      </w:pPr>
      <w:r>
        <w:rPr>
          <w:rFonts w:ascii="黑体" w:eastAsia="黑体" w:hAnsi="黑体" w:cs="黑体" w:hint="eastAsia"/>
        </w:rPr>
        <w:t>线上质控 online quality control</w:t>
      </w:r>
    </w:p>
    <w:p w:rsidR="00C11E68" w:rsidRDefault="00906EDB">
      <w:pPr>
        <w:spacing w:line="360" w:lineRule="auto"/>
        <w:ind w:firstLineChars="200" w:firstLine="420"/>
        <w:rPr>
          <w:rFonts w:ascii="黑体" w:eastAsia="黑体" w:hAnsi="黑体" w:cs="黑体"/>
        </w:rPr>
      </w:pPr>
      <w:r>
        <w:rPr>
          <w:rFonts w:ascii="宋体" w:hAnsi="宋体" w:cs="宋体" w:hint="eastAsia"/>
        </w:rPr>
        <w:t>对互联网医院诊疗服务要素、过程和结果进行质量管理与控制。</w:t>
      </w:r>
    </w:p>
    <w:p w:rsidR="00C11E68" w:rsidRDefault="00906EDB">
      <w:pPr>
        <w:spacing w:line="360" w:lineRule="auto"/>
        <w:rPr>
          <w:rFonts w:ascii="黑体" w:eastAsia="黑体" w:hAnsi="黑体" w:cs="黑体"/>
        </w:rPr>
      </w:pPr>
      <w:r>
        <w:rPr>
          <w:rFonts w:ascii="黑体" w:eastAsia="黑体" w:hAnsi="黑体" w:cs="黑体" w:hint="eastAsia"/>
        </w:rPr>
        <w:t xml:space="preserve">3.4 </w:t>
      </w:r>
    </w:p>
    <w:p w:rsidR="00C11E68" w:rsidRDefault="00906EDB">
      <w:pPr>
        <w:spacing w:line="360" w:lineRule="auto"/>
        <w:ind w:firstLineChars="200" w:firstLine="420"/>
        <w:rPr>
          <w:rFonts w:ascii="黑体" w:eastAsia="黑体" w:hAnsi="黑体" w:cs="黑体"/>
        </w:rPr>
      </w:pPr>
      <w:r>
        <w:rPr>
          <w:rFonts w:ascii="黑体" w:eastAsia="黑体" w:hAnsi="黑体" w:cs="黑体" w:hint="eastAsia"/>
        </w:rPr>
        <w:t>互联网诊疗监管平台 supervision platform of internet hospitals</w:t>
      </w:r>
    </w:p>
    <w:p w:rsidR="00C11E68" w:rsidRDefault="00906EDB">
      <w:pPr>
        <w:spacing w:line="360" w:lineRule="auto"/>
        <w:ind w:firstLineChars="200" w:firstLine="420"/>
        <w:rPr>
          <w:rFonts w:ascii="黑体" w:eastAsia="黑体" w:hAnsi="黑体" w:cs="黑体"/>
        </w:rPr>
      </w:pPr>
      <w:r>
        <w:rPr>
          <w:rFonts w:ascii="宋体" w:hAnsi="宋体" w:cs="宋体" w:hint="eastAsia"/>
        </w:rPr>
        <w:lastRenderedPageBreak/>
        <w:t>由省级卫生健康行政主管部门建立，对医疗、医药等方面的互联网医院业务进行监管，通过事前提醒、事中控制、事后追溯实现全过程监管，做到可查询、可追溯，同时保证访问、处理数据行为的可控、可管，确保对医疗机构的数据安全提供保障，确保患者的就医安全。</w:t>
      </w:r>
      <w:r>
        <w:rPr>
          <w:rFonts w:ascii="黑体" w:eastAsia="黑体" w:hAnsi="黑体" w:cs="黑体" w:hint="eastAsia"/>
        </w:rPr>
        <w:t xml:space="preserve"> </w:t>
      </w:r>
    </w:p>
    <w:p w:rsidR="00C11E68" w:rsidRDefault="00906EDB">
      <w:pPr>
        <w:spacing w:line="360" w:lineRule="auto"/>
        <w:rPr>
          <w:rFonts w:ascii="黑体" w:eastAsia="黑体" w:hAnsi="黑体" w:cs="黑体"/>
        </w:rPr>
      </w:pPr>
      <w:r>
        <w:rPr>
          <w:rFonts w:ascii="黑体" w:eastAsia="黑体" w:hAnsi="黑体" w:cs="黑体" w:hint="eastAsia"/>
        </w:rPr>
        <w:t>4  总体要求</w:t>
      </w:r>
    </w:p>
    <w:p w:rsidR="00C11E68" w:rsidRDefault="00906EDB">
      <w:pPr>
        <w:spacing w:line="360" w:lineRule="auto"/>
        <w:ind w:firstLineChars="200" w:firstLine="420"/>
        <w:rPr>
          <w:rFonts w:ascii="宋体" w:hAnsi="宋体" w:cs="宋体"/>
        </w:rPr>
      </w:pPr>
      <w:r>
        <w:rPr>
          <w:rFonts w:ascii="宋体" w:hAnsi="宋体" w:cs="宋体" w:hint="eastAsia"/>
        </w:rPr>
        <w:t>互联网医院网络门诊应遵循以患者为中心，做到线上诊疗准入合规，诊疗过程全程监管，线上线下诊疗管理同质，各类诊疗信息共享。</w:t>
      </w:r>
    </w:p>
    <w:p w:rsidR="00C11E68" w:rsidRDefault="00906EDB">
      <w:pPr>
        <w:spacing w:line="360" w:lineRule="auto"/>
        <w:rPr>
          <w:rFonts w:ascii="黑体" w:eastAsia="黑体" w:hAnsi="黑体" w:cs="黑体"/>
        </w:rPr>
      </w:pPr>
      <w:r>
        <w:rPr>
          <w:rFonts w:ascii="黑体" w:eastAsia="黑体" w:hAnsi="黑体" w:cs="黑体" w:hint="eastAsia"/>
        </w:rPr>
        <w:t>5 人员要求</w:t>
      </w:r>
    </w:p>
    <w:p w:rsidR="00C11E68" w:rsidRDefault="00906EDB">
      <w:pPr>
        <w:spacing w:line="360" w:lineRule="auto"/>
        <w:rPr>
          <w:rFonts w:ascii="黑体" w:eastAsia="黑体" w:hAnsi="黑体" w:cs="黑体"/>
        </w:rPr>
      </w:pPr>
      <w:r>
        <w:rPr>
          <w:rFonts w:ascii="黑体" w:eastAsia="黑体" w:hAnsi="黑体" w:cs="黑体" w:hint="eastAsia"/>
        </w:rPr>
        <w:t>5.1 医务人员</w:t>
      </w:r>
    </w:p>
    <w:p w:rsidR="00C11E68" w:rsidRDefault="00906EDB">
      <w:pPr>
        <w:pStyle w:val="Default"/>
        <w:spacing w:line="360" w:lineRule="auto"/>
        <w:rPr>
          <w:rFonts w:ascii="宋体" w:hAnsi="宋体" w:cs="宋体"/>
          <w:color w:val="auto"/>
          <w:kern w:val="2"/>
          <w:sz w:val="21"/>
          <w:szCs w:val="21"/>
        </w:rPr>
      </w:pPr>
      <w:r>
        <w:rPr>
          <w:rFonts w:ascii="黑体" w:eastAsia="黑体" w:hAnsi="黑体" w:cs="黑体" w:hint="eastAsia"/>
          <w:sz w:val="21"/>
          <w:szCs w:val="21"/>
        </w:rPr>
        <w:t xml:space="preserve">5.1.1 </w:t>
      </w:r>
      <w:r>
        <w:rPr>
          <w:rFonts w:ascii="宋体" w:hAnsi="宋体" w:cs="宋体" w:hint="eastAsia"/>
          <w:sz w:val="21"/>
          <w:szCs w:val="21"/>
        </w:rPr>
        <w:t xml:space="preserve"> </w:t>
      </w:r>
      <w:r>
        <w:rPr>
          <w:rFonts w:ascii="宋体" w:hAnsi="宋体" w:cs="宋体" w:hint="eastAsia"/>
          <w:color w:val="auto"/>
          <w:kern w:val="2"/>
          <w:sz w:val="21"/>
          <w:szCs w:val="21"/>
        </w:rPr>
        <w:t>开展互联网诊疗的医务人员应依法取得相应执业资质，并具有3年以上独立临床工作经验；护师、药师应具有5年以上独立临床工作经验。</w:t>
      </w:r>
    </w:p>
    <w:p w:rsidR="00C11E68" w:rsidRDefault="00906EDB">
      <w:pPr>
        <w:pStyle w:val="Default"/>
        <w:spacing w:line="360" w:lineRule="auto"/>
        <w:rPr>
          <w:rFonts w:ascii="宋体" w:hAnsi="宋体" w:cs="宋体"/>
          <w:color w:val="auto"/>
          <w:kern w:val="2"/>
          <w:sz w:val="21"/>
          <w:szCs w:val="21"/>
        </w:rPr>
      </w:pPr>
      <w:r>
        <w:rPr>
          <w:rFonts w:ascii="黑体" w:eastAsia="黑体" w:hAnsi="黑体" w:cs="黑体" w:hint="eastAsia"/>
          <w:color w:val="auto"/>
          <w:kern w:val="2"/>
          <w:sz w:val="21"/>
          <w:szCs w:val="21"/>
        </w:rPr>
        <w:t xml:space="preserve">5.1.2 </w:t>
      </w:r>
      <w:r>
        <w:rPr>
          <w:rFonts w:ascii="宋体" w:hAnsi="宋体" w:cs="宋体" w:hint="eastAsia"/>
          <w:color w:val="auto"/>
          <w:kern w:val="2"/>
          <w:sz w:val="21"/>
          <w:szCs w:val="21"/>
        </w:rPr>
        <w:t xml:space="preserve"> 医务人员应进行电子实名认证，经相关培训并考核合格后方能注册上线互联网医院。</w:t>
      </w:r>
    </w:p>
    <w:p w:rsidR="00C11E68" w:rsidRDefault="00906EDB">
      <w:pPr>
        <w:spacing w:line="360" w:lineRule="auto"/>
        <w:rPr>
          <w:rFonts w:ascii="宋体" w:hAnsi="宋体" w:cs="宋体"/>
          <w:szCs w:val="21"/>
        </w:rPr>
      </w:pPr>
      <w:r>
        <w:rPr>
          <w:rFonts w:ascii="黑体" w:eastAsia="黑体" w:hAnsi="黑体" w:cs="黑体" w:hint="eastAsia"/>
          <w:szCs w:val="21"/>
        </w:rPr>
        <w:t xml:space="preserve">5.1.3 </w:t>
      </w:r>
      <w:r>
        <w:rPr>
          <w:rFonts w:ascii="宋体" w:hAnsi="宋体" w:cs="宋体" w:hint="eastAsia"/>
          <w:szCs w:val="21"/>
        </w:rPr>
        <w:t xml:space="preserve"> 医务人员坚持首诊负责制，不推诿患者，确保本人提供诊疗服务，及时处理患者就诊需求；规范互联网医院接诊行为，及时终止不符合条件的线上诊疗活动。</w:t>
      </w:r>
    </w:p>
    <w:p w:rsidR="00C11E68" w:rsidRDefault="00906EDB">
      <w:pPr>
        <w:spacing w:line="360" w:lineRule="auto"/>
        <w:rPr>
          <w:rFonts w:ascii="宋体" w:hAnsi="宋体" w:cs="宋体"/>
          <w:szCs w:val="21"/>
        </w:rPr>
      </w:pPr>
      <w:r>
        <w:rPr>
          <w:rFonts w:ascii="黑体" w:eastAsia="黑体" w:hAnsi="黑体" w:cs="黑体" w:hint="eastAsia"/>
          <w:szCs w:val="21"/>
        </w:rPr>
        <w:t>5.1.4</w:t>
      </w:r>
      <w:r>
        <w:rPr>
          <w:rFonts w:ascii="宋体" w:hAnsi="宋体" w:cs="宋体" w:hint="eastAsia"/>
          <w:szCs w:val="21"/>
        </w:rPr>
        <w:t xml:space="preserve">  医务人员应尊重患者合法权益和保障患者的知情权。</w:t>
      </w:r>
    </w:p>
    <w:p w:rsidR="00C11E68" w:rsidRDefault="00906EDB">
      <w:pPr>
        <w:spacing w:line="360" w:lineRule="auto"/>
        <w:rPr>
          <w:rFonts w:ascii="黑体" w:eastAsia="黑体" w:hAnsi="黑体" w:cs="黑体"/>
        </w:rPr>
      </w:pPr>
      <w:r>
        <w:rPr>
          <w:rFonts w:ascii="黑体" w:eastAsia="黑体" w:hAnsi="黑体" w:cs="黑体" w:hint="eastAsia"/>
        </w:rPr>
        <w:t>5.2 患者</w:t>
      </w:r>
    </w:p>
    <w:p w:rsidR="00C11E68" w:rsidRDefault="00906EDB">
      <w:pPr>
        <w:pStyle w:val="Default"/>
        <w:spacing w:line="360" w:lineRule="auto"/>
        <w:ind w:firstLineChars="200" w:firstLine="420"/>
        <w:rPr>
          <w:color w:val="auto"/>
          <w:kern w:val="2"/>
          <w:sz w:val="21"/>
        </w:rPr>
      </w:pPr>
      <w:r>
        <w:rPr>
          <w:color w:val="auto"/>
          <w:kern w:val="2"/>
          <w:sz w:val="21"/>
        </w:rPr>
        <w:t>互联网诊疗</w:t>
      </w:r>
      <w:r>
        <w:rPr>
          <w:rFonts w:hint="eastAsia"/>
          <w:color w:val="auto"/>
          <w:kern w:val="2"/>
          <w:sz w:val="21"/>
        </w:rPr>
        <w:t>应</w:t>
      </w:r>
      <w:r>
        <w:rPr>
          <w:color w:val="auto"/>
          <w:kern w:val="2"/>
          <w:sz w:val="21"/>
        </w:rPr>
        <w:t>实行实名制，患者有义务向医疗机构提供真实的身份证明及基本信息，不</w:t>
      </w:r>
      <w:r>
        <w:rPr>
          <w:rFonts w:hint="eastAsia"/>
          <w:color w:val="auto"/>
          <w:kern w:val="2"/>
          <w:sz w:val="21"/>
        </w:rPr>
        <w:t>应</w:t>
      </w:r>
      <w:r>
        <w:rPr>
          <w:color w:val="auto"/>
          <w:kern w:val="2"/>
          <w:sz w:val="21"/>
        </w:rPr>
        <w:t>假冒他人就诊。患者就诊时应提供具有明确诊断的病历资料，如门诊病历、住院病历、出院小结、诊断证明等。</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5.3 运维人员</w:t>
      </w:r>
    </w:p>
    <w:p w:rsidR="00C11E68" w:rsidRDefault="00906EDB">
      <w:pPr>
        <w:pStyle w:val="Default"/>
        <w:spacing w:line="360" w:lineRule="auto"/>
        <w:ind w:firstLineChars="200" w:firstLine="420"/>
        <w:rPr>
          <w:color w:val="auto"/>
          <w:kern w:val="2"/>
          <w:sz w:val="21"/>
        </w:rPr>
      </w:pPr>
      <w:r>
        <w:rPr>
          <w:color w:val="auto"/>
          <w:kern w:val="2"/>
          <w:sz w:val="21"/>
        </w:rPr>
        <w:t>有专人负责互联网医院的医疗质量、医疗安全、电子病历的管理，提供互联网医院信息系统维护等技术服务，确保互联网医院系统稳定运行。</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6  设备要求</w:t>
      </w:r>
    </w:p>
    <w:p w:rsidR="00C11E68" w:rsidRDefault="00906EDB">
      <w:pPr>
        <w:pStyle w:val="Default"/>
        <w:spacing w:line="360" w:lineRule="auto"/>
        <w:rPr>
          <w:color w:val="auto"/>
          <w:kern w:val="2"/>
          <w:sz w:val="21"/>
        </w:rPr>
      </w:pPr>
      <w:r>
        <w:rPr>
          <w:rFonts w:ascii="黑体" w:eastAsia="黑体" w:hAnsi="黑体" w:cs="黑体" w:hint="eastAsia"/>
          <w:color w:val="auto"/>
          <w:kern w:val="2"/>
          <w:sz w:val="21"/>
        </w:rPr>
        <w:t xml:space="preserve">6.1  </w:t>
      </w:r>
      <w:r>
        <w:rPr>
          <w:rFonts w:hint="eastAsia"/>
          <w:color w:val="auto"/>
          <w:kern w:val="2"/>
          <w:sz w:val="21"/>
        </w:rPr>
        <w:t>用于互联网医院运行的服务器应</w:t>
      </w:r>
      <w:r>
        <w:rPr>
          <w:rFonts w:ascii="宋体" w:hAnsi="宋体" w:cs="宋体" w:hint="eastAsia"/>
          <w:color w:val="auto"/>
          <w:kern w:val="2"/>
          <w:sz w:val="21"/>
        </w:rPr>
        <w:t>不少于2</w:t>
      </w:r>
      <w:r>
        <w:rPr>
          <w:rFonts w:hint="eastAsia"/>
          <w:color w:val="auto"/>
          <w:kern w:val="2"/>
          <w:sz w:val="21"/>
        </w:rPr>
        <w:t>套，数据库服务器与应用系统服务器需划分。存放服务器的机房应具备双路供电或紧急发电设施。存储医疗数据的服务器不应存放在境外。</w:t>
      </w:r>
    </w:p>
    <w:p w:rsidR="00C11E68" w:rsidRDefault="00906EDB">
      <w:pPr>
        <w:pStyle w:val="Default"/>
        <w:spacing w:line="360" w:lineRule="auto"/>
        <w:rPr>
          <w:color w:val="auto"/>
          <w:kern w:val="2"/>
          <w:sz w:val="21"/>
        </w:rPr>
      </w:pPr>
      <w:r>
        <w:rPr>
          <w:rFonts w:ascii="黑体" w:eastAsia="黑体" w:hAnsi="黑体" w:cs="黑体" w:hint="eastAsia"/>
          <w:color w:val="auto"/>
          <w:kern w:val="2"/>
          <w:sz w:val="21"/>
        </w:rPr>
        <w:t>6.2</w:t>
      </w:r>
      <w:r>
        <w:rPr>
          <w:rFonts w:hint="eastAsia"/>
          <w:color w:val="auto"/>
          <w:kern w:val="2"/>
          <w:sz w:val="21"/>
        </w:rPr>
        <w:t xml:space="preserve">  </w:t>
      </w:r>
      <w:r>
        <w:rPr>
          <w:rFonts w:hint="eastAsia"/>
          <w:color w:val="auto"/>
          <w:kern w:val="2"/>
          <w:sz w:val="21"/>
        </w:rPr>
        <w:t>应至少拥</w:t>
      </w:r>
      <w:r>
        <w:rPr>
          <w:rFonts w:ascii="宋体" w:hAnsi="宋体" w:cs="宋体" w:hint="eastAsia"/>
          <w:color w:val="auto"/>
          <w:kern w:val="2"/>
          <w:sz w:val="21"/>
        </w:rPr>
        <w:t>有2套开展互联网医院业务的音视频通讯系统（含</w:t>
      </w:r>
      <w:r>
        <w:rPr>
          <w:rFonts w:hint="eastAsia"/>
          <w:color w:val="auto"/>
          <w:kern w:val="2"/>
          <w:sz w:val="21"/>
        </w:rPr>
        <w:t>必要的软件系统和硬件设备）。</w:t>
      </w:r>
    </w:p>
    <w:p w:rsidR="00C11E68" w:rsidRDefault="00906EDB">
      <w:pPr>
        <w:pStyle w:val="Default"/>
        <w:spacing w:line="360" w:lineRule="auto"/>
        <w:rPr>
          <w:color w:val="auto"/>
          <w:kern w:val="2"/>
          <w:sz w:val="21"/>
        </w:rPr>
      </w:pPr>
      <w:r>
        <w:rPr>
          <w:rFonts w:ascii="黑体" w:eastAsia="黑体" w:hAnsi="黑体" w:cs="黑体" w:hint="eastAsia"/>
          <w:color w:val="auto"/>
          <w:kern w:val="2"/>
          <w:sz w:val="21"/>
        </w:rPr>
        <w:t xml:space="preserve">6.3 </w:t>
      </w:r>
      <w:r>
        <w:rPr>
          <w:rFonts w:hint="eastAsia"/>
          <w:color w:val="auto"/>
          <w:kern w:val="2"/>
          <w:sz w:val="21"/>
        </w:rPr>
        <w:t xml:space="preserve"> </w:t>
      </w:r>
      <w:r>
        <w:rPr>
          <w:rFonts w:hint="eastAsia"/>
          <w:color w:val="auto"/>
          <w:kern w:val="2"/>
          <w:sz w:val="21"/>
        </w:rPr>
        <w:t>应具备高速率高可靠的网络接入，业务使用的网络带宽不</w:t>
      </w:r>
      <w:r>
        <w:rPr>
          <w:rFonts w:ascii="宋体" w:hAnsi="宋体" w:cs="宋体" w:hint="eastAsia"/>
          <w:color w:val="auto"/>
          <w:kern w:val="2"/>
          <w:sz w:val="21"/>
        </w:rPr>
        <w:t>低于10Mbps，且</w:t>
      </w:r>
      <w:r>
        <w:rPr>
          <w:rFonts w:hint="eastAsia"/>
          <w:color w:val="auto"/>
          <w:kern w:val="2"/>
          <w:sz w:val="21"/>
        </w:rPr>
        <w:t>至少由两家宽带网络供应商提供服务。</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6.4</w:t>
      </w:r>
      <w:r>
        <w:rPr>
          <w:rFonts w:hint="eastAsia"/>
          <w:color w:val="auto"/>
          <w:kern w:val="2"/>
          <w:sz w:val="21"/>
        </w:rPr>
        <w:t xml:space="preserve">  </w:t>
      </w:r>
      <w:r>
        <w:rPr>
          <w:rFonts w:hint="eastAsia"/>
          <w:color w:val="auto"/>
          <w:kern w:val="2"/>
          <w:sz w:val="21"/>
        </w:rPr>
        <w:t>应建立数据访问控制信息系统，确保系统稳定和服务全程留痕，并与实体医疗</w:t>
      </w:r>
      <w:r>
        <w:rPr>
          <w:rFonts w:ascii="宋体" w:hAnsi="宋体" w:cs="宋体" w:hint="eastAsia"/>
          <w:color w:val="auto"/>
          <w:kern w:val="2"/>
          <w:sz w:val="21"/>
        </w:rPr>
        <w:t>机构的HIS、PACS/RIS、LIS系统实现数据交换与共享。</w:t>
      </w:r>
    </w:p>
    <w:p w:rsidR="00C11E68" w:rsidRDefault="00906EDB">
      <w:pPr>
        <w:pStyle w:val="Default"/>
        <w:spacing w:line="360" w:lineRule="auto"/>
        <w:rPr>
          <w:color w:val="auto"/>
          <w:kern w:val="2"/>
          <w:sz w:val="21"/>
        </w:rPr>
      </w:pPr>
      <w:r>
        <w:rPr>
          <w:rFonts w:ascii="黑体" w:eastAsia="黑体" w:hAnsi="黑体" w:cs="黑体" w:hint="eastAsia"/>
          <w:color w:val="auto"/>
          <w:kern w:val="2"/>
          <w:sz w:val="21"/>
        </w:rPr>
        <w:lastRenderedPageBreak/>
        <w:t>6.5</w:t>
      </w:r>
      <w:r>
        <w:rPr>
          <w:rFonts w:hint="eastAsia"/>
          <w:color w:val="auto"/>
          <w:kern w:val="2"/>
          <w:sz w:val="21"/>
        </w:rPr>
        <w:t xml:space="preserve"> </w:t>
      </w:r>
      <w:r>
        <w:rPr>
          <w:rFonts w:hint="eastAsia"/>
          <w:color w:val="auto"/>
          <w:kern w:val="2"/>
          <w:sz w:val="21"/>
        </w:rPr>
        <w:t>信息系统实施第三级信息安全等级保护。</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  服务平台要求</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7.1  服务平台</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7.1.1  患者端</w:t>
      </w:r>
    </w:p>
    <w:p w:rsidR="00C11E68" w:rsidRDefault="00906EDB">
      <w:pPr>
        <w:pStyle w:val="Default"/>
        <w:spacing w:line="360" w:lineRule="auto"/>
        <w:ind w:firstLineChars="200" w:firstLine="420"/>
        <w:rPr>
          <w:color w:val="auto"/>
          <w:kern w:val="2"/>
          <w:sz w:val="21"/>
        </w:rPr>
      </w:pPr>
      <w:r>
        <w:rPr>
          <w:rFonts w:hint="eastAsia"/>
          <w:color w:val="auto"/>
          <w:kern w:val="2"/>
          <w:sz w:val="21"/>
        </w:rPr>
        <w:t>为患者提供相关服务的应用入口，包括建档建卡、在线咨询、在线问诊、在线缴费、在线检查检验结果查询、健康宣教、随访互动、在线公告、意见反馈、就诊评价等。</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7.1.2 医护端</w:t>
      </w:r>
    </w:p>
    <w:p w:rsidR="00C11E68" w:rsidRDefault="00906EDB">
      <w:pPr>
        <w:pStyle w:val="Default"/>
        <w:spacing w:line="360" w:lineRule="auto"/>
        <w:ind w:firstLineChars="200" w:firstLine="420"/>
        <w:rPr>
          <w:color w:val="auto"/>
          <w:kern w:val="2"/>
          <w:sz w:val="21"/>
        </w:rPr>
      </w:pPr>
      <w:r>
        <w:rPr>
          <w:rFonts w:hint="eastAsia"/>
          <w:color w:val="auto"/>
          <w:kern w:val="2"/>
          <w:sz w:val="21"/>
        </w:rPr>
        <w:t>医护人员为患者提供网络门诊服务的应用入口，应具备注册身份认证、执业资格审核、在线接诊、既往病历调阅、复诊审核、处方开具、电</w:t>
      </w:r>
      <w:r>
        <w:rPr>
          <w:rFonts w:ascii="宋体" w:hAnsi="宋体" w:cs="宋体" w:hint="eastAsia"/>
          <w:color w:val="auto"/>
          <w:kern w:val="2"/>
          <w:sz w:val="21"/>
        </w:rPr>
        <w:t>子签名（CA）、电</w:t>
      </w:r>
      <w:r>
        <w:rPr>
          <w:rFonts w:hint="eastAsia"/>
          <w:color w:val="auto"/>
          <w:kern w:val="2"/>
          <w:sz w:val="21"/>
        </w:rPr>
        <w:t>子病历书写等系统功能。</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7.1.3 药事端</w:t>
      </w:r>
    </w:p>
    <w:p w:rsidR="00C11E68" w:rsidRDefault="00906EDB">
      <w:pPr>
        <w:pStyle w:val="Default"/>
        <w:spacing w:line="360" w:lineRule="auto"/>
        <w:ind w:firstLineChars="200" w:firstLine="420"/>
        <w:rPr>
          <w:color w:val="auto"/>
          <w:kern w:val="2"/>
          <w:sz w:val="21"/>
        </w:rPr>
      </w:pPr>
      <w:r>
        <w:rPr>
          <w:rFonts w:hint="eastAsia"/>
          <w:color w:val="auto"/>
          <w:kern w:val="2"/>
          <w:sz w:val="21"/>
        </w:rPr>
        <w:t>为医院药师、药房工作人员提供的应用入口，应具备注册身份认证、处方审核、调配核对、药品配送等功能。</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7.1.4 医院管理端</w:t>
      </w:r>
    </w:p>
    <w:p w:rsidR="00C11E68" w:rsidRDefault="00906EDB">
      <w:pPr>
        <w:pStyle w:val="Default"/>
        <w:spacing w:line="360" w:lineRule="auto"/>
        <w:ind w:firstLineChars="200" w:firstLine="420"/>
        <w:rPr>
          <w:color w:val="auto"/>
          <w:kern w:val="2"/>
          <w:sz w:val="21"/>
        </w:rPr>
      </w:pPr>
      <w:r>
        <w:rPr>
          <w:rFonts w:hint="eastAsia"/>
          <w:color w:val="auto"/>
          <w:kern w:val="2"/>
          <w:sz w:val="21"/>
        </w:rPr>
        <w:t>为医院医疗质量管理部门及相关人员提供线上质控的应用入口，应具备质控人员的身份认证、网络门诊全程留痕并可追溯，以及诊疗数据统计、诊疗行为监控、运营情况分析等功能。</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7.2 注册要求</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7.2.1 患者注册认证</w:t>
      </w:r>
    </w:p>
    <w:p w:rsidR="00C11E68" w:rsidRDefault="00906EDB">
      <w:pPr>
        <w:pStyle w:val="Default"/>
        <w:spacing w:line="360" w:lineRule="auto"/>
        <w:ind w:firstLineChars="200" w:firstLine="420"/>
        <w:rPr>
          <w:color w:val="auto"/>
          <w:kern w:val="2"/>
          <w:sz w:val="21"/>
        </w:rPr>
      </w:pPr>
      <w:r>
        <w:rPr>
          <w:rFonts w:hint="eastAsia"/>
          <w:color w:val="auto"/>
          <w:kern w:val="2"/>
          <w:sz w:val="21"/>
        </w:rPr>
        <w:t>患者实名注册，包括填写身份信息、手机号，并获取短信验证码，可绑定家庭就诊人。</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7.2.2  医务人员注册认证</w:t>
      </w:r>
    </w:p>
    <w:p w:rsidR="00C11E68" w:rsidRDefault="00906EDB">
      <w:pPr>
        <w:pStyle w:val="Default"/>
        <w:spacing w:line="360" w:lineRule="auto"/>
        <w:ind w:firstLineChars="200" w:firstLine="420"/>
        <w:rPr>
          <w:color w:val="auto"/>
          <w:kern w:val="2"/>
          <w:sz w:val="21"/>
        </w:rPr>
      </w:pPr>
      <w:r>
        <w:rPr>
          <w:rFonts w:hint="eastAsia"/>
          <w:color w:val="auto"/>
          <w:kern w:val="2"/>
          <w:sz w:val="21"/>
        </w:rPr>
        <w:t>医务人</w:t>
      </w:r>
      <w:r>
        <w:rPr>
          <w:rFonts w:ascii="宋体" w:hAnsi="宋体" w:cs="宋体" w:hint="eastAsia"/>
          <w:color w:val="auto"/>
          <w:kern w:val="2"/>
          <w:sz w:val="21"/>
        </w:rPr>
        <w:t>员采用CA认证登录，校验本人手机号码，完善个人身份信息，上传本人照片，与电子化注册系统完成对接、校验。</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8  服务工作流程</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服务流程见附录A。</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9  服务工作要求</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9.1 问诊</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9.1.1</w:t>
      </w:r>
      <w:r>
        <w:rPr>
          <w:rFonts w:ascii="宋体" w:hAnsi="宋体" w:cs="宋体" w:hint="eastAsia"/>
          <w:color w:val="auto"/>
          <w:kern w:val="2"/>
          <w:sz w:val="21"/>
        </w:rPr>
        <w:t xml:space="preserve">  患者发起网络门诊，应提供具有明确诊断的病历资料，如门诊病历、住院病历、出院小结、诊断证明等，并支付在线诊察费用。</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9.1.2 </w:t>
      </w:r>
      <w:r>
        <w:rPr>
          <w:rFonts w:ascii="宋体" w:hAnsi="宋体" w:cs="宋体" w:hint="eastAsia"/>
          <w:color w:val="auto"/>
          <w:kern w:val="2"/>
          <w:sz w:val="21"/>
        </w:rPr>
        <w:t xml:space="preserve"> 由医生应根据患者提供的病历资料开展互联网医院网络门诊服务，判断是否符合网络门诊条件，</w:t>
      </w:r>
      <w:r>
        <w:rPr>
          <w:rFonts w:ascii="宋体" w:hAnsi="宋体" w:cs="宋体" w:hint="eastAsia"/>
          <w:color w:val="auto"/>
          <w:kern w:val="2"/>
          <w:sz w:val="21"/>
        </w:rPr>
        <w:lastRenderedPageBreak/>
        <w:t>并通过文字、电话、视频等方式接诊，并根据患者病情开具电子处方、检查检验、住院证等。</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9.2 处方流转</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9.2.1</w:t>
      </w:r>
      <w:r>
        <w:rPr>
          <w:rFonts w:ascii="宋体" w:hAnsi="宋体" w:cs="宋体" w:hint="eastAsia"/>
          <w:color w:val="auto"/>
          <w:kern w:val="2"/>
          <w:sz w:val="21"/>
        </w:rPr>
        <w:t xml:space="preserve">  医生开方后，系统应支持将处方自动流转至药事端。</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9.2.2 </w:t>
      </w:r>
      <w:r>
        <w:rPr>
          <w:rFonts w:ascii="宋体" w:hAnsi="宋体" w:cs="宋体" w:hint="eastAsia"/>
          <w:color w:val="auto"/>
          <w:kern w:val="2"/>
          <w:sz w:val="21"/>
        </w:rPr>
        <w:t xml:space="preserve"> 药事端接收到电子处方后，药师审核，通过后进入调剂发药流程；不通过退回医生端，医生重新修改处方。</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9.2.3</w:t>
      </w:r>
      <w:r>
        <w:rPr>
          <w:rFonts w:ascii="宋体" w:hAnsi="宋体" w:cs="宋体" w:hint="eastAsia"/>
          <w:color w:val="auto"/>
          <w:kern w:val="2"/>
          <w:sz w:val="21"/>
        </w:rPr>
        <w:t xml:space="preserve">  药师对开具的电子处方进行审核，通过后推送至患者端，患者可选择药品配送方式及支付方式。</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9.3 药品配送</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9.3.1 </w:t>
      </w:r>
      <w:r>
        <w:rPr>
          <w:rFonts w:ascii="宋体" w:hAnsi="宋体" w:cs="宋体" w:hint="eastAsia"/>
          <w:color w:val="auto"/>
          <w:kern w:val="2"/>
          <w:sz w:val="21"/>
        </w:rPr>
        <w:t xml:space="preserve"> 药品打包完毕后，由药房人员通过药事端生成物流订单；</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9.3.2</w:t>
      </w:r>
      <w:r>
        <w:rPr>
          <w:rFonts w:ascii="宋体" w:hAnsi="宋体" w:cs="宋体" w:hint="eastAsia"/>
          <w:color w:val="auto"/>
          <w:kern w:val="2"/>
          <w:sz w:val="21"/>
        </w:rPr>
        <w:t xml:space="preserve">  物流机构收到取货订单信息，指派配送人员到医院取药；</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9.3.3</w:t>
      </w:r>
      <w:r>
        <w:rPr>
          <w:rFonts w:ascii="宋体" w:hAnsi="宋体" w:cs="宋体" w:hint="eastAsia"/>
          <w:color w:val="auto"/>
          <w:kern w:val="2"/>
          <w:sz w:val="21"/>
        </w:rPr>
        <w:t xml:space="preserve">  配送人员取药后生成配送信息，根据患者填写的收货地址，将药品配送至相应地点，由收货人签收。</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9.4 电子发票</w:t>
      </w:r>
    </w:p>
    <w:p w:rsidR="00C11E68" w:rsidRDefault="00906EDB">
      <w:pPr>
        <w:pStyle w:val="Default"/>
        <w:spacing w:line="360" w:lineRule="auto"/>
        <w:ind w:firstLineChars="200" w:firstLine="420"/>
        <w:rPr>
          <w:color w:val="auto"/>
          <w:kern w:val="2"/>
          <w:sz w:val="21"/>
        </w:rPr>
      </w:pPr>
      <w:r>
        <w:rPr>
          <w:color w:val="auto"/>
          <w:kern w:val="2"/>
          <w:sz w:val="21"/>
        </w:rPr>
        <w:t>提供省级互联网医疗支付的电子发票管理功能，简化医疗机构线上服务流程，促进</w:t>
      </w:r>
      <w:r>
        <w:rPr>
          <w:color w:val="auto"/>
          <w:kern w:val="2"/>
          <w:sz w:val="21"/>
        </w:rPr>
        <w:t>“</w:t>
      </w:r>
      <w:r>
        <w:rPr>
          <w:color w:val="auto"/>
          <w:kern w:val="2"/>
          <w:sz w:val="21"/>
        </w:rPr>
        <w:t>互联网</w:t>
      </w:r>
      <w:r>
        <w:rPr>
          <w:color w:val="auto"/>
          <w:kern w:val="2"/>
          <w:sz w:val="21"/>
        </w:rPr>
        <w:t>+</w:t>
      </w:r>
      <w:r>
        <w:rPr>
          <w:color w:val="auto"/>
          <w:kern w:val="2"/>
          <w:sz w:val="21"/>
        </w:rPr>
        <w:t>医疗健康</w:t>
      </w:r>
      <w:r>
        <w:rPr>
          <w:color w:val="auto"/>
          <w:kern w:val="2"/>
          <w:sz w:val="21"/>
        </w:rPr>
        <w:t>”</w:t>
      </w:r>
      <w:r>
        <w:rPr>
          <w:color w:val="auto"/>
          <w:kern w:val="2"/>
          <w:sz w:val="21"/>
        </w:rPr>
        <w:t>便民惠民的落实。</w:t>
      </w:r>
      <w:r>
        <w:rPr>
          <w:rFonts w:hint="eastAsia"/>
          <w:color w:val="auto"/>
          <w:kern w:val="2"/>
          <w:sz w:val="21"/>
        </w:rPr>
        <w:t>患者在患者端可查阅、下载本次就诊相关的电子发票。</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10 工作监管</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10.1 医务人员监管</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医务人员监督应包括以下内容：</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a) 对开展互联网诊疗活动的医务人员进行实名认证，确保医务人员具备合法资质。</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将开展互联网诊疗活动的医务人员信息上传至省级监管平台，包括身份证号码、照片、相关资质、执业地点、执业机构、执业范围、临床工作年限等必要信息。</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 对开展互联网诊疗活动的医务人员建立考核机制，根据依法执业、医疗质量、医疗安全、医德医风、满意度等内容进行考核并建立准入、退出机制。</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d) 对开展互联网诊疗活动以及从事相关管理服务的人员开展定期培训，内容包括卫生健康相关的法律法规、医疗管理相关政策、岗位职责、互联网诊疗流程、平台使用与应急处置等。</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e) 对互联网医院医务人员执业地点加强监管。</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10.2 工作过程监管</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 xml:space="preserve"> </w:t>
      </w:r>
      <w:r>
        <w:rPr>
          <w:rFonts w:ascii="宋体" w:hAnsi="宋体" w:cs="宋体" w:hint="eastAsia"/>
          <w:color w:val="auto"/>
          <w:kern w:val="2"/>
          <w:sz w:val="21"/>
        </w:rPr>
        <w:t xml:space="preserve">   工作过程监管应包括以下内容：</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a) 互联网诊疗实行实名制，患者有义务向医疗机构提供真实的身份证明及基本信息，不应假冒他</w:t>
      </w:r>
      <w:r>
        <w:rPr>
          <w:rFonts w:ascii="宋体" w:hAnsi="宋体" w:cs="宋体" w:hint="eastAsia"/>
          <w:color w:val="auto"/>
          <w:kern w:val="2"/>
          <w:sz w:val="21"/>
        </w:rPr>
        <w:lastRenderedPageBreak/>
        <w:t>人就诊。</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患者就诊时应提供具有明确诊断的病历资料，如门诊病历、住院病历、出院小结、诊断证明等，由接诊医师留存相关资料，并判断是否符合复诊条件。医疗机构应当明确互联网诊疗的终止条件。</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 应加强药品管理。处方应由接诊医师本人开具，不应使用人工智能等自动生成处方。处方药应当凭医师处方销售、调剂和使用。不应在处方开具前，向患者提供药品。严禁以商业目的进行统方。</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d) 医疗机构自行或委托第三方开展药品配送的，相关协议、处方流转信息应可追溯，并向省级监管平台开放数据接口。</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e) 互联网诊疗的医疗服务收费项目和收费标准应当在互联网诊疗平台进行公示，方便患者查询。</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f) 医疗机构应自觉加强行风建设，不应以谋取个人利益为目的转介患者、指定地点购买药品、耗材等。</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g)互联网诊疗活动应全程留痕、可追溯，并向省级监管平台开放数据接口。</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10.3 质量安全监管</w:t>
      </w:r>
    </w:p>
    <w:p w:rsidR="00C11E68" w:rsidRDefault="00906EDB">
      <w:pPr>
        <w:pStyle w:val="Default"/>
        <w:spacing w:line="360" w:lineRule="auto"/>
        <w:ind w:firstLineChars="200" w:firstLine="420"/>
        <w:rPr>
          <w:rFonts w:ascii="黑体" w:eastAsia="黑体" w:hAnsi="黑体" w:cs="黑体"/>
          <w:color w:val="auto"/>
          <w:kern w:val="2"/>
          <w:sz w:val="21"/>
        </w:rPr>
      </w:pPr>
      <w:r>
        <w:rPr>
          <w:rFonts w:ascii="宋体" w:hAnsi="宋体" w:cs="宋体" w:hint="eastAsia"/>
          <w:color w:val="auto"/>
          <w:kern w:val="2"/>
          <w:sz w:val="21"/>
        </w:rPr>
        <w:t>质量安全监管应包括以下内容：</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a) 遵守医疗质量、医疗安全、网络安全等有关法律法规和规定。</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建立网络安全、数据安全、个人信息保护、隐私保护等制度，并与相关合作方签订协议，明确各方权责关系。</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c)发生患者个人信息、医疗数据泄露等网络安全事件时，当及时向相关主管部门报告，并采取有效应对措施。</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d) 对互联网诊疗活动的质量安全进行控制，并设置患者投诉处理的信息反馈渠道。</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e) 建立医疗质量（安全）不良事件报告制度，指定专门部门负责医疗质量（安全）不良事件报告的收集、分析和总结工作，鼓励医务人员积极报告不良事件。</w:t>
      </w:r>
    </w:p>
    <w:p w:rsidR="00C11E68" w:rsidRDefault="00906EDB">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f) 加强互联网诊疗信息发布的内容管理，确保信息合法合规、真实有效。</w:t>
      </w:r>
    </w:p>
    <w:p w:rsidR="00C11E68" w:rsidRDefault="00906EDB">
      <w:pPr>
        <w:spacing w:line="360" w:lineRule="auto"/>
        <w:rPr>
          <w:rFonts w:ascii="黑体" w:eastAsia="黑体" w:hAnsi="黑体" w:cs="黑体"/>
        </w:rPr>
      </w:pPr>
      <w:r>
        <w:rPr>
          <w:rFonts w:ascii="黑体" w:eastAsia="黑体" w:hAnsi="黑体" w:cs="黑体" w:hint="eastAsia"/>
        </w:rPr>
        <w:t>11  监督、评价、投诉处理与改进</w:t>
      </w:r>
    </w:p>
    <w:p w:rsidR="00C11E68" w:rsidRDefault="00906EDB">
      <w:pPr>
        <w:spacing w:line="360" w:lineRule="auto"/>
        <w:rPr>
          <w:rFonts w:ascii="黑体" w:eastAsia="黑体" w:hAnsi="黑体" w:cs="黑体"/>
        </w:rPr>
      </w:pPr>
      <w:r>
        <w:rPr>
          <w:rFonts w:ascii="黑体" w:eastAsia="黑体" w:hAnsi="黑体" w:cs="黑体" w:hint="eastAsia"/>
        </w:rPr>
        <w:t>11.1  监督</w:t>
      </w:r>
    </w:p>
    <w:p w:rsidR="00C11E68" w:rsidRDefault="00906EDB">
      <w:pPr>
        <w:pStyle w:val="af4"/>
        <w:spacing w:line="360" w:lineRule="auto"/>
        <w:ind w:firstLineChars="0" w:firstLine="0"/>
      </w:pPr>
      <w:r>
        <w:rPr>
          <w:rFonts w:ascii="黑体" w:eastAsia="黑体" w:hAnsi="黑体" w:cs="黑体" w:hint="eastAsia"/>
        </w:rPr>
        <w:t xml:space="preserve">11.1.1  </w:t>
      </w:r>
      <w:r>
        <w:rPr>
          <w:rFonts w:hint="eastAsia"/>
        </w:rPr>
        <w:t>应主动向社会公示服务内容、服务依据、服务流程、服务时限、服务要求、投诉渠道维护服务对象的知情权和监督权。</w:t>
      </w:r>
    </w:p>
    <w:p w:rsidR="00C11E68" w:rsidRDefault="00906EDB">
      <w:pPr>
        <w:pStyle w:val="af4"/>
        <w:spacing w:line="360" w:lineRule="auto"/>
        <w:ind w:firstLineChars="0" w:firstLine="0"/>
      </w:pPr>
      <w:r>
        <w:rPr>
          <w:rFonts w:ascii="黑体" w:eastAsia="黑体" w:hAnsi="黑体" w:cs="黑体" w:hint="eastAsia"/>
        </w:rPr>
        <w:t xml:space="preserve">11.1.2  </w:t>
      </w:r>
      <w:r>
        <w:rPr>
          <w:rFonts w:hint="eastAsia"/>
        </w:rPr>
        <w:t>应实施内部服务质量考核与评估，并接受行政监督和社会监督。</w:t>
      </w:r>
      <w:r>
        <w:rPr>
          <w:rFonts w:hint="eastAsia"/>
        </w:rPr>
        <w:br/>
      </w:r>
      <w:r>
        <w:rPr>
          <w:rFonts w:ascii="黑体" w:eastAsia="黑体" w:hAnsi="黑体" w:cs="黑体" w:hint="eastAsia"/>
        </w:rPr>
        <w:t xml:space="preserve">11.1.3  </w:t>
      </w:r>
      <w:r>
        <w:rPr>
          <w:rFonts w:hint="eastAsia"/>
        </w:rPr>
        <w:t>应根据监督和审核结果，及时纠正或采取预防措施，提高社会满意度。</w:t>
      </w:r>
    </w:p>
    <w:p w:rsidR="00C11E68" w:rsidRDefault="00906EDB">
      <w:pPr>
        <w:spacing w:line="360" w:lineRule="auto"/>
        <w:rPr>
          <w:rFonts w:ascii="黑体" w:eastAsia="黑体" w:hAnsi="黑体" w:cs="黑体"/>
        </w:rPr>
      </w:pPr>
      <w:r>
        <w:rPr>
          <w:rFonts w:ascii="黑体" w:eastAsia="黑体" w:hAnsi="黑体" w:cs="黑体" w:hint="eastAsia"/>
        </w:rPr>
        <w:lastRenderedPageBreak/>
        <w:t>11.2  评价</w:t>
      </w:r>
    </w:p>
    <w:p w:rsidR="00C11E68" w:rsidRDefault="00906EDB">
      <w:pPr>
        <w:spacing w:line="360" w:lineRule="auto"/>
        <w:rPr>
          <w:rFonts w:ascii="宋体"/>
          <w:kern w:val="0"/>
          <w:szCs w:val="20"/>
        </w:rPr>
      </w:pPr>
      <w:r>
        <w:rPr>
          <w:rFonts w:ascii="黑体" w:eastAsia="黑体" w:hAnsi="黑体" w:cs="黑体" w:hint="eastAsia"/>
        </w:rPr>
        <w:t xml:space="preserve">11.2.1  </w:t>
      </w:r>
      <w:r>
        <w:rPr>
          <w:rFonts w:ascii="宋体" w:hint="eastAsia"/>
          <w:kern w:val="0"/>
          <w:szCs w:val="20"/>
        </w:rPr>
        <w:t>应采取内部评价和外部评价相结合，开展以患者满意度测评为核心要素的服务质量。</w:t>
      </w:r>
    </w:p>
    <w:p w:rsidR="00C11E68" w:rsidRDefault="00906EDB">
      <w:pPr>
        <w:spacing w:line="360" w:lineRule="auto"/>
        <w:rPr>
          <w:rFonts w:ascii="宋体"/>
          <w:kern w:val="0"/>
          <w:szCs w:val="20"/>
        </w:rPr>
      </w:pPr>
      <w:r>
        <w:rPr>
          <w:rFonts w:ascii="黑体" w:eastAsia="黑体" w:hAnsi="黑体" w:cs="黑体" w:hint="eastAsia"/>
        </w:rPr>
        <w:t xml:space="preserve">11.2.2  </w:t>
      </w:r>
      <w:r>
        <w:rPr>
          <w:rFonts w:ascii="宋体" w:hint="eastAsia"/>
          <w:kern w:val="0"/>
          <w:szCs w:val="20"/>
        </w:rPr>
        <w:t>对服务对象的满意度测评应符合GB/T</w:t>
      </w:r>
      <w:r>
        <w:rPr>
          <w:rFonts w:ascii="宋体" w:hint="eastAsia"/>
          <w:kern w:val="0"/>
          <w:szCs w:val="20"/>
        </w:rPr>
        <w:t> </w:t>
      </w:r>
      <w:r>
        <w:rPr>
          <w:rFonts w:ascii="宋体" w:hint="eastAsia"/>
          <w:kern w:val="0"/>
          <w:szCs w:val="20"/>
        </w:rPr>
        <w:t>19038和GB/T</w:t>
      </w:r>
      <w:r>
        <w:rPr>
          <w:rFonts w:ascii="宋体" w:hint="eastAsia"/>
          <w:kern w:val="0"/>
          <w:szCs w:val="20"/>
        </w:rPr>
        <w:t> </w:t>
      </w:r>
      <w:r>
        <w:rPr>
          <w:rFonts w:ascii="宋体" w:hint="eastAsia"/>
          <w:kern w:val="0"/>
          <w:szCs w:val="20"/>
        </w:rPr>
        <w:t>19039要求。</w:t>
      </w:r>
    </w:p>
    <w:p w:rsidR="00C11E68" w:rsidRDefault="00906EDB">
      <w:pPr>
        <w:spacing w:line="360" w:lineRule="auto"/>
        <w:rPr>
          <w:rFonts w:ascii="黑体" w:eastAsia="黑体" w:hAnsi="黑体" w:cs="黑体"/>
        </w:rPr>
      </w:pPr>
      <w:r>
        <w:rPr>
          <w:rFonts w:ascii="黑体" w:eastAsia="黑体" w:hAnsi="黑体" w:cs="黑体" w:hint="eastAsia"/>
        </w:rPr>
        <w:t>11.3  投诉处理</w:t>
      </w:r>
    </w:p>
    <w:p w:rsidR="00C11E68" w:rsidRDefault="00906EDB">
      <w:pPr>
        <w:spacing w:line="360" w:lineRule="auto"/>
        <w:ind w:firstLineChars="200" w:firstLine="420"/>
        <w:rPr>
          <w:rFonts w:ascii="宋体"/>
          <w:kern w:val="0"/>
          <w:szCs w:val="20"/>
        </w:rPr>
      </w:pPr>
      <w:r>
        <w:rPr>
          <w:rFonts w:ascii="宋体" w:hint="eastAsia"/>
          <w:kern w:val="0"/>
          <w:szCs w:val="20"/>
        </w:rPr>
        <w:t>应提供现场、信函、电话、网络等投诉渠道，明确专门部门负责调查、处理患者的投投诉处理结果告知投诉人。</w:t>
      </w:r>
    </w:p>
    <w:p w:rsidR="00C11E68" w:rsidRDefault="00906EDB">
      <w:pPr>
        <w:spacing w:line="360" w:lineRule="auto"/>
        <w:rPr>
          <w:rFonts w:ascii="黑体" w:eastAsia="黑体" w:hAnsi="黑体" w:cs="黑体"/>
        </w:rPr>
      </w:pPr>
      <w:r>
        <w:rPr>
          <w:rFonts w:ascii="黑体" w:eastAsia="黑体" w:hAnsi="黑体" w:cs="黑体" w:hint="eastAsia"/>
        </w:rPr>
        <w:t>11.4  改进</w:t>
      </w:r>
      <w:r>
        <w:rPr>
          <w:rFonts w:ascii="宋体" w:hAnsi="宋体" w:cs="宋体"/>
          <w:sz w:val="24"/>
        </w:rPr>
        <w:br/>
      </w:r>
      <w:r>
        <w:rPr>
          <w:rFonts w:ascii="黑体" w:eastAsia="黑体" w:hAnsi="黑体" w:cs="黑体" w:hint="eastAsia"/>
        </w:rPr>
        <w:t xml:space="preserve">11.4.1  </w:t>
      </w:r>
      <w:r>
        <w:rPr>
          <w:rFonts w:ascii="宋体" w:hint="eastAsia"/>
          <w:kern w:val="0"/>
          <w:szCs w:val="20"/>
        </w:rPr>
        <w:t>应根据服务评价对服务内容、服务形式、服务流程进行优化和改进。</w:t>
      </w:r>
      <w:r>
        <w:rPr>
          <w:rFonts w:ascii="宋体" w:hint="eastAsia"/>
          <w:kern w:val="0"/>
          <w:szCs w:val="20"/>
        </w:rPr>
        <w:br/>
      </w:r>
      <w:r>
        <w:rPr>
          <w:rFonts w:ascii="黑体" w:eastAsia="黑体" w:hAnsi="黑体" w:cs="黑体" w:hint="eastAsia"/>
        </w:rPr>
        <w:t xml:space="preserve">11.4.2  </w:t>
      </w:r>
      <w:r>
        <w:rPr>
          <w:rFonts w:ascii="宋体" w:hint="eastAsia"/>
          <w:kern w:val="0"/>
          <w:szCs w:val="20"/>
        </w:rPr>
        <w:t>应注重患者的满意度和公共服务效能的提升,持续提高服务质量。</w:t>
      </w:r>
    </w:p>
    <w:p w:rsidR="00C11E68" w:rsidRDefault="00906EDB">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12 档案管理</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12.1 </w:t>
      </w:r>
      <w:r>
        <w:rPr>
          <w:rFonts w:hint="eastAsia"/>
          <w:color w:val="auto"/>
          <w:kern w:val="2"/>
          <w:sz w:val="21"/>
        </w:rPr>
        <w:t xml:space="preserve"> </w:t>
      </w:r>
      <w:r>
        <w:rPr>
          <w:color w:val="auto"/>
          <w:kern w:val="2"/>
          <w:sz w:val="21"/>
        </w:rPr>
        <w:t>医疗机构开展互联网诊疗过程中所产生的电子病历信息，应当与依托的实体医疗机构电子病历格式一致、系统共享，由依托的实体医疗机构开展</w:t>
      </w:r>
      <w:r>
        <w:rPr>
          <w:rFonts w:ascii="宋体" w:hAnsi="宋体" w:cs="宋体" w:hint="eastAsia"/>
          <w:color w:val="auto"/>
          <w:kern w:val="2"/>
          <w:sz w:val="21"/>
        </w:rPr>
        <w:t>线上线下一体化质控。</w:t>
      </w:r>
    </w:p>
    <w:p w:rsidR="00C11E68" w:rsidRDefault="00906EDB">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12.2 </w:t>
      </w:r>
      <w:r>
        <w:rPr>
          <w:rFonts w:ascii="宋体" w:hAnsi="宋体" w:cs="宋体" w:hint="eastAsia"/>
          <w:color w:val="auto"/>
          <w:kern w:val="2"/>
          <w:sz w:val="21"/>
        </w:rPr>
        <w:t xml:space="preserve"> 互联网诊疗病历记录按照门诊电子病历的有关规定进行管理，保存时间不得少于15年。诊疗中的图文对话、音视频资料等过程记录保存时间不应少于3年。</w:t>
      </w:r>
    </w:p>
    <w:p w:rsidR="00C11E68" w:rsidRDefault="00C11E68">
      <w:pPr>
        <w:pStyle w:val="af4"/>
        <w:spacing w:line="360" w:lineRule="auto"/>
        <w:ind w:firstLineChars="0" w:firstLine="0"/>
        <w:rPr>
          <w:rFonts w:hAnsi="宋体" w:cs="宋体"/>
          <w:szCs w:val="21"/>
        </w:rPr>
      </w:pPr>
    </w:p>
    <w:p w:rsidR="00C11E68" w:rsidRDefault="00C11E68">
      <w:pPr>
        <w:pStyle w:val="af4"/>
        <w:spacing w:line="360" w:lineRule="auto"/>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906EDB">
      <w:pPr>
        <w:jc w:val="center"/>
        <w:rPr>
          <w:rFonts w:ascii="黑体" w:eastAsia="黑体" w:hAnsi="黑体" w:cs="黑体"/>
        </w:rPr>
      </w:pPr>
      <w:r>
        <w:rPr>
          <w:rFonts w:ascii="黑体" w:eastAsia="黑体" w:hAnsi="黑体" w:cs="黑体" w:hint="eastAsia"/>
        </w:rPr>
        <w:lastRenderedPageBreak/>
        <w:t>附录A</w:t>
      </w:r>
    </w:p>
    <w:p w:rsidR="00C11E68" w:rsidRDefault="00906EDB">
      <w:pPr>
        <w:jc w:val="center"/>
        <w:rPr>
          <w:rFonts w:ascii="黑体" w:eastAsia="黑体" w:hAnsi="黑体" w:cs="黑体"/>
        </w:rPr>
      </w:pPr>
      <w:r>
        <w:rPr>
          <w:rFonts w:ascii="黑体" w:eastAsia="黑体" w:hAnsi="黑体" w:cs="黑体" w:hint="eastAsia"/>
        </w:rPr>
        <w:t>（规范性）</w:t>
      </w:r>
    </w:p>
    <w:p w:rsidR="00C11E68" w:rsidRDefault="00906EDB">
      <w:pPr>
        <w:jc w:val="center"/>
      </w:pPr>
      <w:r>
        <w:rPr>
          <w:rFonts w:ascii="黑体" w:eastAsia="黑体" w:hAnsi="黑体" w:cs="黑体" w:hint="eastAsia"/>
        </w:rPr>
        <w:t>互联网医院网络门诊服务工作流程</w:t>
      </w:r>
    </w:p>
    <w:p w:rsidR="00C11E68" w:rsidRDefault="00906EDB">
      <w:pPr>
        <w:pStyle w:val="af4"/>
        <w:spacing w:line="480" w:lineRule="exact"/>
        <w:ind w:firstLineChars="0" w:firstLine="0"/>
        <w:rPr>
          <w:rFonts w:hAnsi="宋体" w:cs="宋体"/>
          <w:szCs w:val="21"/>
        </w:rPr>
      </w:pPr>
      <w:r>
        <w:rPr>
          <w:rFonts w:hAnsi="宋体" w:cs="宋体" w:hint="eastAsia"/>
          <w:szCs w:val="21"/>
        </w:rPr>
        <w:t>图A.1规定了互联网医院网络门诊服务工作流程。</w:t>
      </w:r>
    </w:p>
    <w:p w:rsidR="00C11E68" w:rsidRDefault="00906EDB">
      <w:pPr>
        <w:pStyle w:val="af4"/>
        <w:ind w:firstLineChars="0" w:firstLine="0"/>
        <w:jc w:val="center"/>
        <w:rPr>
          <w:rFonts w:hAnsi="宋体" w:cs="宋体"/>
          <w:szCs w:val="21"/>
        </w:rPr>
      </w:pPr>
      <w:r>
        <w:rPr>
          <w:rFonts w:hint="eastAsia"/>
          <w:noProof/>
        </w:rPr>
        <w:drawing>
          <wp:inline distT="0" distB="0" distL="114300" distR="114300">
            <wp:extent cx="5262880" cy="6586220"/>
            <wp:effectExtent l="0" t="0" r="0" b="0"/>
            <wp:docPr id="6" name="图片 1" descr="C:/Users/Administrator/AppData/Local/Temp/wps.CxKAWn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Administrator/AppData/Local/Temp/wps.CxKAWnwps"/>
                    <pic:cNvPicPr>
                      <a:picLocks noChangeAspect="1"/>
                    </pic:cNvPicPr>
                  </pic:nvPicPr>
                  <pic:blipFill>
                    <a:blip r:embed="rId10"/>
                    <a:stretch>
                      <a:fillRect/>
                    </a:stretch>
                  </pic:blipFill>
                  <pic:spPr>
                    <a:xfrm>
                      <a:off x="0" y="0"/>
                      <a:ext cx="5262880" cy="6586220"/>
                    </a:xfrm>
                    <a:prstGeom prst="rect">
                      <a:avLst/>
                    </a:prstGeom>
                    <a:noFill/>
                    <a:ln>
                      <a:noFill/>
                    </a:ln>
                  </pic:spPr>
                </pic:pic>
              </a:graphicData>
            </a:graphic>
          </wp:inline>
        </w:drawing>
      </w:r>
    </w:p>
    <w:p w:rsidR="00C11E68" w:rsidRDefault="00906EDB">
      <w:pPr>
        <w:pStyle w:val="af4"/>
        <w:spacing w:line="480" w:lineRule="exact"/>
        <w:ind w:firstLineChars="0" w:firstLine="0"/>
        <w:jc w:val="center"/>
        <w:rPr>
          <w:rFonts w:ascii="黑体" w:eastAsia="黑体" w:hAnsi="黑体" w:cs="黑体"/>
          <w:szCs w:val="21"/>
        </w:rPr>
      </w:pPr>
      <w:r>
        <w:rPr>
          <w:rFonts w:ascii="黑体" w:eastAsia="黑体" w:hAnsi="黑体" w:cs="黑体" w:hint="eastAsia"/>
          <w:szCs w:val="21"/>
        </w:rPr>
        <w:t>图A.1互联网医院网络门诊服务工作流程</w:t>
      </w:r>
    </w:p>
    <w:p w:rsidR="00C11E68" w:rsidRDefault="00C11E68">
      <w:pPr>
        <w:pStyle w:val="af4"/>
        <w:spacing w:line="480" w:lineRule="exact"/>
        <w:ind w:firstLineChars="0" w:firstLine="0"/>
        <w:jc w:val="center"/>
        <w:rPr>
          <w:rFonts w:ascii="黑体" w:eastAsia="黑体" w:hAnsi="黑体" w:cs="黑体"/>
          <w:szCs w:val="21"/>
        </w:rPr>
      </w:pPr>
    </w:p>
    <w:p w:rsidR="00C11E68" w:rsidRDefault="00906EDB">
      <w:pPr>
        <w:pStyle w:val="af4"/>
        <w:spacing w:line="480" w:lineRule="exact"/>
        <w:ind w:firstLineChars="0" w:firstLine="0"/>
        <w:jc w:val="center"/>
        <w:rPr>
          <w:rFonts w:ascii="黑体" w:eastAsia="黑体" w:hAnsi="黑体" w:cs="黑体"/>
          <w:szCs w:val="21"/>
        </w:rPr>
      </w:pPr>
      <w:r>
        <w:rPr>
          <w:rFonts w:ascii="黑体" w:eastAsia="黑体" w:hAnsi="黑体" w:cs="黑体" w:hint="eastAsia"/>
          <w:szCs w:val="21"/>
        </w:rPr>
        <w:lastRenderedPageBreak/>
        <w:t>参考文献</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hint="eastAsia"/>
          <w:szCs w:val="21"/>
        </w:rPr>
        <w:t>《国务院办公厅关于促进“互联网+医疗健康”发展的意见》（国办发〔2018〕26号）</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hint="eastAsia"/>
          <w:szCs w:val="21"/>
        </w:rPr>
        <w:t>《互联网医院管理办法》（试行）（国卫医发〔2018〕25号）</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hint="eastAsia"/>
          <w:szCs w:val="21"/>
        </w:rPr>
        <w:t>《互联网医院基本标准》（试行）（国卫医发〔2018〕25号）</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hint="eastAsia"/>
          <w:szCs w:val="21"/>
        </w:rPr>
        <w:t>《远程医疗服务管理规范》（试行）（国卫医发〔2018〕25号）</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hint="eastAsia"/>
          <w:szCs w:val="21"/>
        </w:rPr>
        <w:t>《江苏互联网医院建设标准与规范》（试行）（国卫医发〔2018〕25号）</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szCs w:val="21"/>
        </w:rPr>
        <w:t>《江苏省互联网医疗服务审批程序》（苏卫医政〔2019〕26号）</w:t>
      </w:r>
    </w:p>
    <w:p w:rsidR="00C11E68" w:rsidRDefault="00906EDB">
      <w:pPr>
        <w:pStyle w:val="af4"/>
        <w:numPr>
          <w:ilvl w:val="0"/>
          <w:numId w:val="1"/>
        </w:numPr>
        <w:spacing w:line="480" w:lineRule="exact"/>
        <w:ind w:firstLineChars="0" w:firstLine="0"/>
        <w:jc w:val="left"/>
        <w:rPr>
          <w:rFonts w:hAnsi="宋体" w:cs="宋体"/>
          <w:szCs w:val="21"/>
        </w:rPr>
      </w:pPr>
      <w:r>
        <w:rPr>
          <w:rFonts w:hAnsi="宋体" w:cs="宋体"/>
          <w:szCs w:val="21"/>
        </w:rPr>
        <w:t>《关于加强互联网医疗服务监管工作的通知》（苏卫办医政〔2019〕40 号）</w:t>
      </w:r>
    </w:p>
    <w:p w:rsidR="00C11E68" w:rsidRDefault="00906EDB">
      <w:pPr>
        <w:pStyle w:val="af4"/>
        <w:spacing w:line="480" w:lineRule="exact"/>
        <w:ind w:firstLineChars="0" w:firstLine="0"/>
        <w:rPr>
          <w:rFonts w:hAnsi="宋体" w:cs="宋体"/>
          <w:szCs w:val="21"/>
          <w:u w:val="single"/>
        </w:rPr>
      </w:pPr>
      <w:r>
        <w:rPr>
          <w:rFonts w:hAnsi="宋体" w:cs="宋体" w:hint="eastAsia"/>
          <w:szCs w:val="21"/>
        </w:rPr>
        <w:t xml:space="preserve">                                  </w:t>
      </w:r>
      <w:r>
        <w:rPr>
          <w:rFonts w:hAnsi="宋体" w:cs="宋体" w:hint="eastAsia"/>
          <w:szCs w:val="21"/>
          <w:u w:val="single"/>
        </w:rPr>
        <w:t xml:space="preserve">                     </w:t>
      </w: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4"/>
        <w:spacing w:line="480" w:lineRule="exact"/>
        <w:ind w:firstLineChars="0" w:firstLine="0"/>
        <w:rPr>
          <w:rFonts w:hAnsi="宋体" w:cs="宋体"/>
          <w:szCs w:val="21"/>
        </w:rPr>
      </w:pPr>
    </w:p>
    <w:p w:rsidR="00C11E68" w:rsidRDefault="00C11E68">
      <w:pPr>
        <w:pStyle w:val="af6"/>
        <w:framePr w:wrap="around"/>
      </w:pPr>
    </w:p>
    <w:p w:rsidR="00C11E68" w:rsidRDefault="00C11E68"/>
    <w:sectPr w:rsidR="00C11E68">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624" w:rsidRDefault="00B17624">
      <w:r>
        <w:separator/>
      </w:r>
    </w:p>
  </w:endnote>
  <w:endnote w:type="continuationSeparator" w:id="0">
    <w:p w:rsidR="00B17624" w:rsidRDefault="00B1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E68" w:rsidRDefault="00906EDB">
    <w:pPr>
      <w:pStyle w:val="af8"/>
    </w:pPr>
    <w:r>
      <w:fldChar w:fldCharType="begin"/>
    </w:r>
    <w:r>
      <w:instrText xml:space="preserve"> PAGE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624" w:rsidRDefault="00B17624">
      <w:r>
        <w:separator/>
      </w:r>
    </w:p>
  </w:footnote>
  <w:footnote w:type="continuationSeparator" w:id="0">
    <w:p w:rsidR="00B17624" w:rsidRDefault="00B1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E68" w:rsidRDefault="00906EDB">
    <w:pPr>
      <w:pStyle w:val="af7"/>
    </w:pPr>
    <w:r>
      <w:rPr>
        <w:rFonts w:hint="eastAsia"/>
      </w:rPr>
      <w:t>DB3207</w:t>
    </w:r>
    <w:r>
      <w:t>/T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78251"/>
    <w:multiLevelType w:val="singleLevel"/>
    <w:tmpl w:val="87078251"/>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RkOTE3YzhjZTM4NmNkOWJkNzU0ZTg2NGM1ZDE5MTUifQ=="/>
  </w:docVars>
  <w:rsids>
    <w:rsidRoot w:val="483B61FF"/>
    <w:rsid w:val="000B6A93"/>
    <w:rsid w:val="00906EDB"/>
    <w:rsid w:val="0092494D"/>
    <w:rsid w:val="00B17624"/>
    <w:rsid w:val="00C11E68"/>
    <w:rsid w:val="00F6526E"/>
    <w:rsid w:val="030837DC"/>
    <w:rsid w:val="07DE272D"/>
    <w:rsid w:val="13BC5DB8"/>
    <w:rsid w:val="22B07A7C"/>
    <w:rsid w:val="340535D0"/>
    <w:rsid w:val="3B1479D8"/>
    <w:rsid w:val="3DBD544B"/>
    <w:rsid w:val="3FAD47FF"/>
    <w:rsid w:val="483B61FF"/>
    <w:rsid w:val="4F5D14F6"/>
    <w:rsid w:val="4F8E26A8"/>
    <w:rsid w:val="50BE0F48"/>
    <w:rsid w:val="5F3E6C4E"/>
    <w:rsid w:val="63A63014"/>
    <w:rsid w:val="63A67BCF"/>
    <w:rsid w:val="75785C6F"/>
    <w:rsid w:val="75825BCB"/>
    <w:rsid w:val="78D46561"/>
    <w:rsid w:val="7EFD6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BBB3B48-4434-4E2E-8399-7E068E8A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eastAsia="仿宋" w:hAnsi="Arial"/>
      <w:b/>
      <w:sz w:val="32"/>
      <w:szCs w:val="32"/>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6">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7">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8">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9">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b">
    <w:name w:val="封面标准文稿类别"/>
    <w:basedOn w:val="ac"/>
    <w:qFormat/>
    <w:pPr>
      <w:framePr w:wrap="around"/>
      <w:spacing w:after="160" w:line="240" w:lineRule="auto"/>
    </w:pPr>
    <w:rPr>
      <w:sz w:val="24"/>
    </w:rPr>
  </w:style>
  <w:style w:type="paragraph" w:customStyle="1" w:styleId="ac">
    <w:name w:val="封面一致性程度标识"/>
    <w:basedOn w:val="ad"/>
    <w:qFormat/>
    <w:pPr>
      <w:framePr w:wrap="around"/>
      <w:spacing w:before="440"/>
    </w:pPr>
    <w:rPr>
      <w:rFonts w:ascii="宋体" w:eastAsia="宋体"/>
    </w:rPr>
  </w:style>
  <w:style w:type="paragraph" w:customStyle="1" w:styleId="ad">
    <w:name w:val="封面标准英文名称"/>
    <w:basedOn w:val="aa"/>
    <w:qFormat/>
    <w:pPr>
      <w:framePr w:wrap="around"/>
      <w:spacing w:before="370" w:line="400" w:lineRule="exact"/>
    </w:pPr>
    <w:rPr>
      <w:rFonts w:ascii="Times New Roman"/>
      <w:sz w:val="28"/>
      <w:szCs w:val="28"/>
    </w:rPr>
  </w:style>
  <w:style w:type="paragraph" w:customStyle="1" w:styleId="ae">
    <w:name w:val="封面标准文稿编辑信息"/>
    <w:basedOn w:val="ab"/>
    <w:qFormat/>
    <w:pPr>
      <w:framePr w:wrap="around"/>
      <w:spacing w:before="180" w:line="180" w:lineRule="exact"/>
    </w:pPr>
    <w:rPr>
      <w:sz w:val="21"/>
    </w:rPr>
  </w:style>
  <w:style w:type="paragraph" w:customStyle="1" w:styleId="af">
    <w:name w:val="其他发布日期"/>
    <w:basedOn w:val="af0"/>
    <w:qFormat/>
    <w:pPr>
      <w:framePr w:wrap="around" w:vAnchor="page" w:hAnchor="text" w:x="1419"/>
    </w:pPr>
  </w:style>
  <w:style w:type="paragraph" w:customStyle="1" w:styleId="af0">
    <w:name w:val="发布日期"/>
    <w:qFormat/>
    <w:pPr>
      <w:framePr w:w="3997" w:h="471" w:hRule="exact" w:vSpace="181" w:wrap="around" w:hAnchor="page" w:x="7089" w:y="14097" w:anchorLock="1"/>
    </w:pPr>
    <w:rPr>
      <w:rFonts w:eastAsia="黑体"/>
      <w:sz w:val="28"/>
    </w:rPr>
  </w:style>
  <w:style w:type="paragraph" w:customStyle="1" w:styleId="af1">
    <w:name w:val="其他实施日期"/>
    <w:basedOn w:val="af2"/>
    <w:qFormat/>
    <w:pPr>
      <w:framePr w:wrap="around"/>
    </w:pPr>
  </w:style>
  <w:style w:type="paragraph" w:customStyle="1" w:styleId="af2">
    <w:name w:val="实施日期"/>
    <w:basedOn w:val="af0"/>
    <w:qFormat/>
    <w:pPr>
      <w:framePr w:wrap="around" w:vAnchor="page" w:hAnchor="text"/>
      <w:jc w:val="right"/>
    </w:pPr>
  </w:style>
  <w:style w:type="paragraph" w:customStyle="1" w:styleId="af3">
    <w:name w:val="发布部门"/>
    <w:next w:val="af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5">
    <w:name w:val="前言、引言标题"/>
    <w:next w:val="af4"/>
    <w:qFormat/>
    <w:pPr>
      <w:keepNext/>
      <w:pageBreakBefore/>
      <w:shd w:val="clear" w:color="FFFFFF" w:fill="FFFFFF"/>
      <w:spacing w:before="640" w:after="560"/>
      <w:jc w:val="center"/>
      <w:outlineLvl w:val="0"/>
    </w:pPr>
    <w:rPr>
      <w:rFonts w:ascii="黑体" w:eastAsia="黑体"/>
      <w:sz w:val="32"/>
    </w:rPr>
  </w:style>
  <w:style w:type="paragraph" w:customStyle="1" w:styleId="Default">
    <w:name w:val="Default"/>
    <w:qFormat/>
    <w:pPr>
      <w:widowControl w:val="0"/>
      <w:autoSpaceDE w:val="0"/>
      <w:autoSpaceDN w:val="0"/>
      <w:adjustRightInd w:val="0"/>
    </w:pPr>
    <w:rPr>
      <w:rFonts w:ascii="Calibri" w:hAnsi="Calibri"/>
      <w:color w:val="000000"/>
      <w:sz w:val="24"/>
      <w:szCs w:val="24"/>
    </w:rPr>
  </w:style>
  <w:style w:type="paragraph" w:customStyle="1" w:styleId="af6">
    <w:name w:val="终结线"/>
    <w:basedOn w:val="a"/>
    <w:qFormat/>
    <w:pPr>
      <w:framePr w:hSpace="181" w:vSpace="181" w:wrap="around" w:vAnchor="text" w:hAnchor="margin" w:xAlign="center" w:y="285"/>
    </w:pPr>
  </w:style>
  <w:style w:type="paragraph" w:customStyle="1" w:styleId="af7">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8">
    <w:name w:val="标准书脚_奇数页"/>
    <w:qFormat/>
    <w:pPr>
      <w:spacing w:before="120"/>
      <w:ind w:right="198"/>
      <w:jc w:val="right"/>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771</Words>
  <Characters>4396</Characters>
  <Application>Microsoft Office Word</Application>
  <DocSecurity>0</DocSecurity>
  <Lines>36</Lines>
  <Paragraphs>10</Paragraphs>
  <ScaleCrop>false</ScaleCrop>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花然</dc:creator>
  <cp:lastModifiedBy>Administrator</cp:lastModifiedBy>
  <cp:revision>3</cp:revision>
  <dcterms:created xsi:type="dcterms:W3CDTF">2023-03-11T00:50:00Z</dcterms:created>
  <dcterms:modified xsi:type="dcterms:W3CDTF">2024-10-14T09:39:00Z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C886FE841A1741059BFDEEDA5BCDE08F_13</vt:lpwstr>
  </property>
</Properties>
</file>