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273D1E" w:rsidRDefault="00000000">
      <w:pPr>
        <w:pStyle w:val="af8"/>
        <w:framePr w:wrap="around"/>
        <w:rPr>
          <w:rFonts w:ascii="Times New Roman"/>
        </w:rPr>
      </w:pPr>
      <w:bookmarkStart w:id="0" w:name="DT"/>
      <w:r>
        <w:rPr>
          <w:rFonts w:ascii="Times New Roman"/>
        </w:rPr>
        <w:t>ICS </w:t>
      </w:r>
    </w:p>
    <w:p w:rsidR="00273D1E" w:rsidRDefault="00000000">
      <w:pPr>
        <w:pStyle w:val="af8"/>
        <w:framePr w:wrap="around"/>
        <w:rPr>
          <w:rFonts w:ascii="Times New Roman"/>
        </w:rPr>
      </w:pPr>
      <w:r>
        <w:rPr>
          <w:rFonts w:ascii="Times New Roman"/>
        </w:rPr>
        <w:t xml:space="preserve">CCS B </w:t>
      </w:r>
    </w:p>
    <w:p w:rsidR="00CD6876" w:rsidRDefault="00CD6876" w:rsidP="00CD6876">
      <w:pPr>
        <w:pStyle w:val="af9"/>
        <w:framePr w:wrap="around"/>
      </w:pPr>
      <w:r>
        <w:rPr>
          <w:noProof/>
        </w:rPr>
        <w:drawing>
          <wp:inline distT="0" distB="0" distL="0" distR="0" wp14:anchorId="45DFB909" wp14:editId="32CA6BEE">
            <wp:extent cx="796290" cy="397510"/>
            <wp:effectExtent l="0" t="0" r="3810" b="2540"/>
            <wp:docPr id="615988961" name="图片 615988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B2DE1">
        <w:rPr>
          <w:rFonts w:hint="eastAsia"/>
          <w:sz w:val="20"/>
          <w:szCs w:val="20"/>
        </w:rPr>
        <w:t xml:space="preserve"> </w:t>
      </w:r>
      <w:r>
        <w:t>3207</w:t>
      </w:r>
    </w:p>
    <w:p w:rsidR="00273D1E" w:rsidRDefault="00000000">
      <w:pPr>
        <w:pStyle w:val="afb"/>
        <w:framePr w:wrap="around"/>
        <w:rPr>
          <w:rFonts w:ascii="Times New Roman" w:hAnsi="Times New Roman"/>
        </w:rPr>
      </w:pPr>
      <w:r>
        <w:rPr>
          <w:rFonts w:ascii="Times New Roman" w:hAnsi="Times New Roman"/>
        </w:rPr>
        <w:t>连云港市地方标准</w:t>
      </w:r>
    </w:p>
    <w:p w:rsidR="00273D1E" w:rsidRDefault="00000000">
      <w:pPr>
        <w:pStyle w:val="2"/>
        <w:framePr w:wrap="around" w:x="1622" w:y="3196"/>
        <w:rPr>
          <w:rFonts w:ascii="Times New Roman" w:hint="eastAsia"/>
        </w:rPr>
      </w:pPr>
      <w:r>
        <w:rPr>
          <w:rFonts w:ascii="Times New Roman"/>
        </w:rPr>
        <w:t>DB3207/T XXXX—</w:t>
      </w:r>
      <w:r w:rsidR="00CD6876">
        <w:rPr>
          <w:rFonts w:ascii="Times New Roman" w:hint="eastAsia"/>
        </w:rPr>
        <w:t>XXXX</w:t>
      </w:r>
    </w:p>
    <w:tbl>
      <w:tblPr>
        <w:tblW w:w="9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356"/>
      </w:tblGrid>
      <w:tr w:rsidR="00273D1E">
        <w:tc>
          <w:tcPr>
            <w:tcW w:w="9356" w:type="dxa"/>
            <w:tcBorders>
              <w:top w:val="nil"/>
              <w:left w:val="nil"/>
              <w:bottom w:val="nil"/>
              <w:right w:val="nil"/>
            </w:tcBorders>
          </w:tcPr>
          <w:p w:rsidR="00273D1E" w:rsidRDefault="00000000">
            <w:pPr>
              <w:pStyle w:val="afc"/>
              <w:framePr w:wrap="around" w:x="1622" w:y="3196"/>
              <w:rPr>
                <w:rFonts w:ascii="Times New Roman"/>
              </w:rPr>
            </w:pPr>
            <w:r>
              <w:rPr>
                <w:rFonts w:ascii="Times New Roman"/>
                <w:noProof/>
              </w:rPr>
              <mc:AlternateContent>
                <mc:Choice Requires="wps">
                  <w:drawing>
                    <wp:anchor distT="0" distB="0" distL="114300" distR="114300" simplePos="0" relativeHeight="251659264" behindDoc="1" locked="0" layoutInCell="1" allowOverlap="1">
                      <wp:simplePos x="0" y="0"/>
                      <wp:positionH relativeFrom="column">
                        <wp:posOffset>4734560</wp:posOffset>
                      </wp:positionH>
                      <wp:positionV relativeFrom="paragraph">
                        <wp:posOffset>34290</wp:posOffset>
                      </wp:positionV>
                      <wp:extent cx="1143000" cy="228600"/>
                      <wp:effectExtent l="0" t="0" r="0" b="0"/>
                      <wp:wrapNone/>
                      <wp:docPr id="8" name="矩形 8"/>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a:effectLst/>
                            </wps:spPr>
                            <wps:txbx>
                              <w:txbxContent>
                                <w:p w:rsidR="00273D1E" w:rsidRDefault="00273D1E">
                                  <w:pPr>
                                    <w:jc w:val="center"/>
                                  </w:pPr>
                                </w:p>
                              </w:txbxContent>
                            </wps:txbx>
                            <wps:bodyPr upright="1"/>
                          </wps:wsp>
                        </a:graphicData>
                      </a:graphic>
                    </wp:anchor>
                  </w:drawing>
                </mc:Choice>
                <mc:Fallback xmlns:wpsCustomData="http://www.wps.cn/officeDocument/2013/wpsCustomData">
                  <w:pict>
                    <v:rect id="_x0000_s1026" o:spid="_x0000_s1026" o:spt="1" style="position:absolute;left:0pt;margin-left:372.8pt;margin-top:2.7pt;height:18pt;width:90pt;z-index:-251657216;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HmDyy9YAAAAIAQAADwAAAAAAAAABACAAAAAiAAAAZHJzL2Rvd25yZXYueG1sUEsBAhQAFAAA&#10;AAgAh07iQAENOVy4AQAAeAMAAA4AAAAAAAAAAQAgAAAAJQEAAGRycy9lMm9Eb2MueG1sUEsFBgAA&#10;AAAGAAYAWQEAAE8FAAAAAA==&#10;">
                      <v:fill on="t" focussize="0,0"/>
                      <v:stroke on="f"/>
                      <v:imagedata o:title=""/>
                      <o:lock v:ext="edit" aspectratio="f"/>
                      <v:textbox>
                        <w:txbxContent>
                          <w:p w14:paraId="3C85960B">
                            <w:pPr>
                              <w:jc w:val="center"/>
                            </w:pPr>
                          </w:p>
                        </w:txbxContent>
                      </v:textbox>
                    </v:rect>
                  </w:pict>
                </mc:Fallback>
              </mc:AlternateContent>
            </w:r>
            <w:bookmarkEnd w:id="0"/>
          </w:p>
        </w:tc>
      </w:tr>
    </w:tbl>
    <w:p w:rsidR="00273D1E" w:rsidRDefault="00273D1E">
      <w:pPr>
        <w:pStyle w:val="2"/>
        <w:framePr w:wrap="around" w:x="1622" w:y="3196"/>
        <w:rPr>
          <w:rFonts w:ascii="Times New Roman"/>
        </w:rPr>
      </w:pPr>
    </w:p>
    <w:p w:rsidR="00273D1E" w:rsidRDefault="00273D1E">
      <w:pPr>
        <w:pStyle w:val="2"/>
        <w:framePr w:wrap="around" w:x="1622" w:y="3196"/>
        <w:rPr>
          <w:rFonts w:ascii="Times New Roman"/>
        </w:rPr>
      </w:pPr>
    </w:p>
    <w:p w:rsidR="00273D1E" w:rsidRDefault="00000000">
      <w:pPr>
        <w:pStyle w:val="afd"/>
        <w:framePr w:w="10314" w:wrap="around" w:x="1073" w:y="6627"/>
        <w:rPr>
          <w:rFonts w:ascii="Times New Roman"/>
          <w:szCs w:val="52"/>
        </w:rPr>
      </w:pPr>
      <w:r>
        <w:rPr>
          <w:rFonts w:ascii="Times New Roman" w:hint="eastAsia"/>
          <w:szCs w:val="52"/>
        </w:rPr>
        <w:t>畜禽粪便卧式螺旋反应器好氧堆肥技术规程</w:t>
      </w:r>
    </w:p>
    <w:p w:rsidR="00273D1E" w:rsidRDefault="00000000">
      <w:pPr>
        <w:pStyle w:val="aff"/>
        <w:framePr w:w="10314" w:wrap="around" w:x="1073" w:y="6627"/>
        <w:rPr>
          <w:rFonts w:ascii="黑体" w:eastAsia="黑体" w:hAnsi="黑体"/>
        </w:rPr>
      </w:pPr>
      <w:r>
        <w:rPr>
          <w:rFonts w:ascii="黑体" w:eastAsia="黑体" w:hAnsi="黑体"/>
        </w:rPr>
        <w:t xml:space="preserve">Technical code of practice for aerobic composting of livestock and poultry manure with horizontal spiral reactor </w:t>
      </w:r>
    </w:p>
    <w:p w:rsidR="00CD6876" w:rsidRPr="00971B2C" w:rsidRDefault="00CD6876" w:rsidP="00CD6876">
      <w:pPr>
        <w:pStyle w:val="aff"/>
        <w:framePr w:w="10314" w:wrap="around" w:x="1073" w:y="6627"/>
        <w:rPr>
          <w:rFonts w:ascii="黑体" w:eastAsia="黑体" w:hAnsi="黑体" w:hint="eastAsia"/>
          <w:sz w:val="24"/>
          <w:szCs w:val="24"/>
        </w:rPr>
      </w:pPr>
      <w:r w:rsidRPr="00971B2C">
        <w:rPr>
          <w:rFonts w:hint="eastAsia"/>
          <w:sz w:val="24"/>
          <w:szCs w:val="24"/>
        </w:rPr>
        <w:t>（报批稿）</w:t>
      </w:r>
    </w:p>
    <w:p w:rsidR="00CD6876" w:rsidRDefault="00CD6876">
      <w:pPr>
        <w:pStyle w:val="aff"/>
        <w:framePr w:w="10314" w:wrap="around" w:x="1073" w:y="6627"/>
        <w:rPr>
          <w:rFonts w:ascii="黑体" w:eastAsia="黑体" w:hAnsi="黑体" w:hint="eastAsia"/>
        </w:rPr>
      </w:pPr>
    </w:p>
    <w:p w:rsidR="00273D1E" w:rsidRDefault="00CD6876">
      <w:pPr>
        <w:pStyle w:val="aff2"/>
        <w:framePr w:w="3682" w:wrap="around" w:vAnchor="text" w:hAnchor="page" w:x="1041" w:y="13450"/>
      </w:pPr>
      <w:r>
        <w:rPr>
          <w:rFonts w:hint="eastAsia"/>
        </w:rPr>
        <w:t>XXXX</w:t>
      </w:r>
      <w:r w:rsidR="00000000">
        <w:t xml:space="preserve"> - XX - XX</w:t>
      </w:r>
      <w:r w:rsidR="00000000">
        <w:t>发布</w:t>
      </w:r>
    </w:p>
    <w:p w:rsidR="00273D1E" w:rsidRDefault="00CD6876">
      <w:pPr>
        <w:pStyle w:val="aff4"/>
        <w:framePr w:w="3967" w:h="411" w:hRule="exact" w:wrap="around" w:vAnchor="text" w:hAnchor="page" w:x="6636" w:y="13465"/>
      </w:pPr>
      <w:r>
        <w:rPr>
          <w:rFonts w:hint="eastAsia"/>
        </w:rPr>
        <w:t>XXXX</w:t>
      </w:r>
      <w:r w:rsidR="00000000">
        <w:t>- XX - XX</w:t>
      </w:r>
      <w:r w:rsidR="00000000">
        <w:t>实施</w:t>
      </w:r>
    </w:p>
    <w:p w:rsidR="00273D1E" w:rsidRDefault="00000000">
      <w:pPr>
        <w:pStyle w:val="aff6"/>
        <w:framePr w:wrap="around" w:x="2194" w:y="14845"/>
        <w:rPr>
          <w:rFonts w:ascii="Times New Roman"/>
        </w:rPr>
      </w:pPr>
      <w:r>
        <w:rPr>
          <w:rFonts w:ascii="Times New Roman"/>
        </w:rPr>
        <w:t xml:space="preserve"> </w:t>
      </w:r>
      <w:r>
        <w:rPr>
          <w:rFonts w:ascii="Times New Roman"/>
        </w:rPr>
        <w:t>连云港市市场监督管理局</w:t>
      </w:r>
      <w:r>
        <w:rPr>
          <w:rFonts w:ascii="Times New Roman"/>
        </w:rPr>
        <w:t xml:space="preserve">  </w:t>
      </w:r>
      <w:r>
        <w:rPr>
          <w:rStyle w:val="aff9"/>
          <w:rFonts w:ascii="Times New Roman"/>
        </w:rPr>
        <w:t>发布</w:t>
      </w:r>
    </w:p>
    <w:p w:rsidR="00273D1E" w:rsidRDefault="00000000">
      <w:pPr>
        <w:pStyle w:val="aff8"/>
        <w:rPr>
          <w:rFonts w:ascii="Times New Roman"/>
        </w:rPr>
        <w:sectPr w:rsidR="00273D1E">
          <w:headerReference w:type="even" r:id="rId9"/>
          <w:headerReference w:type="default" r:id="rId10"/>
          <w:headerReference w:type="first" r:id="rId11"/>
          <w:pgSz w:w="11906" w:h="16838"/>
          <w:pgMar w:top="567" w:right="850" w:bottom="1134" w:left="1418" w:header="0" w:footer="0" w:gutter="0"/>
          <w:pgNumType w:start="1"/>
          <w:cols w:space="720"/>
          <w:docGrid w:type="lines" w:linePitch="312"/>
        </w:sectPr>
      </w:pPr>
      <w:r>
        <w:rPr>
          <w:rFonts w:ascii="Times New Roman"/>
          <w:noProof/>
        </w:rPr>
        <mc:AlternateContent>
          <mc:Choice Requires="wps">
            <w:drawing>
              <wp:anchor distT="0" distB="0" distL="114300" distR="114300" simplePos="0" relativeHeight="251661312" behindDoc="0" locked="0" layoutInCell="1" allowOverlap="1">
                <wp:simplePos x="0" y="0"/>
                <wp:positionH relativeFrom="column">
                  <wp:posOffset>-387350</wp:posOffset>
                </wp:positionH>
                <wp:positionV relativeFrom="paragraph">
                  <wp:posOffset>8968740</wp:posOffset>
                </wp:positionV>
                <wp:extent cx="6381115" cy="8890"/>
                <wp:effectExtent l="0" t="0" r="0" b="0"/>
                <wp:wrapNone/>
                <wp:docPr id="7" name="直接连接符 7"/>
                <wp:cNvGraphicFramePr/>
                <a:graphic xmlns:a="http://schemas.openxmlformats.org/drawingml/2006/main">
                  <a:graphicData uri="http://schemas.microsoft.com/office/word/2010/wordprocessingShape">
                    <wps:wsp>
                      <wps:cNvCnPr/>
                      <wps:spPr>
                        <a:xfrm>
                          <a:off x="0" y="0"/>
                          <a:ext cx="6381115" cy="889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xmlns:wpsCustomData="http://www.wps.cn/officeDocument/2013/wpsCustomData">
            <w:pict>
              <v:line id="_x0000_s1026" o:spid="_x0000_s1026" o:spt="20" style="position:absolute;left:0pt;margin-left:-30.5pt;margin-top:706.2pt;height:0.7pt;width:502.45pt;z-index:251661312;mso-width-relative:page;mso-height-relative:page;" filled="f" stroked="t" coordsize="21600,21600" o:gfxdata="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dZQVd2gAAAA0BAAAPAAAAAAAAAAEAIAAAACIAAABkcnMvZG93bnJldi54bWxQ&#10;SwECFAAUAAAACACHTuJA5kYVQPUBAADpAwAADgAAAAAAAAABACAAAAApAQAAZHJzL2Uyb0RvYy54&#10;bWxQSwUGAAAAAAYABgBZAQAAkAUAAAAA&#10;">
                <v:fill on="f" focussize="0,0"/>
                <v:stroke color="#000000" joinstyle="round"/>
                <v:imagedata o:title=""/>
                <o:lock v:ext="edit" aspectratio="f"/>
              </v:line>
            </w:pict>
          </mc:Fallback>
        </mc:AlternateContent>
      </w:r>
      <w:r>
        <w:rPr>
          <w:rFonts w:ascii="Times New Roman"/>
          <w:noProof/>
        </w:rPr>
        <mc:AlternateContent>
          <mc:Choice Requires="wps">
            <w:drawing>
              <wp:anchor distT="0" distB="0" distL="114300" distR="114300" simplePos="0" relativeHeight="251660288" behindDoc="0" locked="0" layoutInCell="1" allowOverlap="1">
                <wp:simplePos x="0" y="0"/>
                <wp:positionH relativeFrom="column">
                  <wp:posOffset>-635</wp:posOffset>
                </wp:positionH>
                <wp:positionV relativeFrom="paragraph">
                  <wp:posOffset>2339340</wp:posOffset>
                </wp:positionV>
                <wp:extent cx="6120130" cy="0"/>
                <wp:effectExtent l="0" t="0" r="0" b="0"/>
                <wp:wrapNone/>
                <wp:docPr id="6" name="直接连接符 6"/>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xmlns:wpsCustomData="http://www.wps.cn/officeDocument/2013/wpsCustomData">
            <w:pict>
              <v:line id="_x0000_s1026" o:spid="_x0000_s1026" o:spt="20" style="position:absolute;left:0pt;margin-left:-0.05pt;margin-top:184.2pt;height:0pt;width:481.9pt;z-index:251660288;mso-width-relative:page;mso-height-relative:page;" filled="f" stroked="t" coordsize="21600,21600" o:gfxdata="UEsDBAoAAAAAAIdO4kAAAAAAAAAAAAAAAAAEAAAAZHJzL1BLAwQUAAAACACHTuJABdbwCNcAAAAJ&#10;AQAADwAAAGRycy9kb3ducmV2LnhtbE2PzU7DMBCE70h9B2uRuFStnQaF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BdbwCNcAAAAJAQAADwAAAAAAAAABACAAAAAiAAAAZHJzL2Rvd25yZXYueG1sUEsBAhQAFAAA&#10;AAgAh07iQNIxvarwAQAA5gMAAA4AAAAAAAAAAQAgAAAAJgEAAGRycy9lMm9Eb2MueG1sUEsFBgAA&#10;AAAGAAYAWQEAAIgFAAAAAA==&#10;">
                <v:fill on="f" focussize="0,0"/>
                <v:stroke color="#000000" joinstyle="round"/>
                <v:imagedata o:title=""/>
                <o:lock v:ext="edit" aspectratio="f"/>
              </v:line>
            </w:pict>
          </mc:Fallback>
        </mc:AlternateContent>
      </w:r>
    </w:p>
    <w:p w:rsidR="00273D1E" w:rsidRDefault="00000000">
      <w:pPr>
        <w:pStyle w:val="affa"/>
        <w:adjustRightInd w:val="0"/>
        <w:snapToGrid w:val="0"/>
        <w:rPr>
          <w:rFonts w:ascii="Times New Roman"/>
        </w:rPr>
      </w:pPr>
      <w:bookmarkStart w:id="1" w:name="_Toc28372"/>
      <w:bookmarkStart w:id="2" w:name="_Toc29734"/>
      <w:r>
        <w:rPr>
          <w:rFonts w:ascii="Times New Roman"/>
        </w:rPr>
        <w:lastRenderedPageBreak/>
        <w:t>前</w:t>
      </w:r>
      <w:bookmarkStart w:id="3" w:name="BKQY"/>
      <w:r>
        <w:rPr>
          <w:rFonts w:ascii="Times New Roman"/>
        </w:rPr>
        <w:t>  </w:t>
      </w:r>
      <w:r>
        <w:rPr>
          <w:rFonts w:ascii="Times New Roman"/>
        </w:rPr>
        <w:t>言</w:t>
      </w:r>
      <w:bookmarkEnd w:id="1"/>
      <w:bookmarkEnd w:id="2"/>
      <w:bookmarkEnd w:id="3"/>
    </w:p>
    <w:p w:rsidR="00273D1E" w:rsidRDefault="00000000">
      <w:pPr>
        <w:pStyle w:val="aff8"/>
        <w:spacing w:line="360" w:lineRule="auto"/>
        <w:rPr>
          <w:rFonts w:ascii="Times New Roman"/>
        </w:rPr>
      </w:pPr>
      <w:r>
        <w:rPr>
          <w:rFonts w:ascii="Times New Roman"/>
        </w:rPr>
        <w:t>本文件按</w:t>
      </w:r>
      <w:r>
        <w:rPr>
          <w:rFonts w:ascii="Times New Roman"/>
        </w:rPr>
        <w:t>GB/T 1.1-2020</w:t>
      </w:r>
      <w:r>
        <w:rPr>
          <w:rFonts w:ascii="Times New Roman"/>
        </w:rPr>
        <w:t>《标准化工作导则</w:t>
      </w:r>
      <w:r>
        <w:rPr>
          <w:rFonts w:ascii="Times New Roman"/>
        </w:rPr>
        <w:t xml:space="preserve"> </w:t>
      </w:r>
      <w:r>
        <w:rPr>
          <w:rFonts w:ascii="Times New Roman"/>
        </w:rPr>
        <w:t>第</w:t>
      </w:r>
      <w:r>
        <w:rPr>
          <w:rFonts w:ascii="Times New Roman"/>
        </w:rPr>
        <w:t>1</w:t>
      </w:r>
      <w:r>
        <w:rPr>
          <w:rFonts w:ascii="Times New Roman"/>
        </w:rPr>
        <w:t>部分：标准化文件的结构和起草规则》的规定起草。</w:t>
      </w:r>
      <w:r>
        <w:rPr>
          <w:rFonts w:ascii="Times New Roman"/>
        </w:rPr>
        <w:t xml:space="preserve">  </w:t>
      </w:r>
    </w:p>
    <w:p w:rsidR="00273D1E" w:rsidRDefault="00000000">
      <w:pPr>
        <w:pStyle w:val="aff8"/>
        <w:spacing w:line="360" w:lineRule="auto"/>
        <w:rPr>
          <w:rFonts w:ascii="Times New Roman"/>
        </w:rPr>
      </w:pPr>
      <w:r>
        <w:rPr>
          <w:rFonts w:ascii="Times New Roman"/>
        </w:rPr>
        <w:t>请注意本文件的某些内容可能涉及专利。本文件的发布机构不承担识别专利的责任。</w:t>
      </w:r>
    </w:p>
    <w:p w:rsidR="00273D1E" w:rsidRDefault="00000000">
      <w:pPr>
        <w:pStyle w:val="aff8"/>
        <w:spacing w:line="360" w:lineRule="auto"/>
        <w:rPr>
          <w:rFonts w:ascii="Times New Roman"/>
        </w:rPr>
      </w:pPr>
      <w:r>
        <w:rPr>
          <w:rFonts w:ascii="Times New Roman"/>
        </w:rPr>
        <w:t>本文件由连云港市农业农村局提出并组织实施与监督。</w:t>
      </w:r>
    </w:p>
    <w:p w:rsidR="00273D1E" w:rsidRDefault="00000000">
      <w:pPr>
        <w:pStyle w:val="aff8"/>
        <w:spacing w:line="360" w:lineRule="auto"/>
        <w:rPr>
          <w:rFonts w:ascii="Times New Roman"/>
        </w:rPr>
      </w:pPr>
      <w:r>
        <w:rPr>
          <w:rFonts w:ascii="Times New Roman" w:hint="eastAsia"/>
        </w:rPr>
        <w:t>本文件由连云港市农业标准化技术委员会归口。</w:t>
      </w:r>
    </w:p>
    <w:p w:rsidR="00273D1E" w:rsidRDefault="00000000">
      <w:pPr>
        <w:pStyle w:val="aff8"/>
        <w:spacing w:line="360" w:lineRule="auto"/>
        <w:rPr>
          <w:rFonts w:ascii="Times New Roman"/>
        </w:rPr>
      </w:pPr>
      <w:r>
        <w:rPr>
          <w:rFonts w:ascii="Times New Roman" w:hint="eastAsia"/>
        </w:rPr>
        <w:t>本文件起草单位：连云港市农业科学院、连云港市农村能源环境保护办公室、连云港市海州区板浦镇农业技术和推广服务中心。</w:t>
      </w:r>
    </w:p>
    <w:p w:rsidR="00273D1E" w:rsidRDefault="00000000">
      <w:pPr>
        <w:pStyle w:val="aff8"/>
        <w:spacing w:line="360" w:lineRule="auto"/>
        <w:rPr>
          <w:rFonts w:ascii="Times New Roman"/>
        </w:rPr>
        <w:sectPr w:rsidR="00273D1E">
          <w:headerReference w:type="default" r:id="rId12"/>
          <w:footerReference w:type="default" r:id="rId13"/>
          <w:pgSz w:w="11906" w:h="16838"/>
          <w:pgMar w:top="567" w:right="1134" w:bottom="1134" w:left="1418" w:header="1418" w:footer="1134" w:gutter="0"/>
          <w:pgNumType w:fmt="upperRoman" w:start="1"/>
          <w:cols w:space="720"/>
          <w:formProt w:val="0"/>
          <w:docGrid w:type="lines" w:linePitch="312"/>
        </w:sectPr>
      </w:pPr>
      <w:r>
        <w:rPr>
          <w:rFonts w:ascii="Times New Roman" w:hint="eastAsia"/>
        </w:rPr>
        <w:t>本文件主要起草人：谭一罗、张广旭、房健、沈晓阳、孙潇潇、顾颖、徐琳、张苏珍、王加成、樊继伟、王康君、郭明明、李晓峰、师毅君、何茂盛、徐大勇。</w:t>
      </w:r>
    </w:p>
    <w:p w:rsidR="00273D1E" w:rsidRDefault="00000000">
      <w:pPr>
        <w:pStyle w:val="affd"/>
        <w:spacing w:line="360" w:lineRule="auto"/>
        <w:rPr>
          <w:rFonts w:ascii="Times New Roman"/>
          <w:color w:val="000000" w:themeColor="text1"/>
        </w:rPr>
      </w:pPr>
      <w:r>
        <w:rPr>
          <w:rFonts w:ascii="Times New Roman" w:hint="eastAsia"/>
          <w:color w:val="000000" w:themeColor="text1"/>
        </w:rPr>
        <w:lastRenderedPageBreak/>
        <w:t>畜禽粪便卧式螺旋反应器好氧堆肥技术规程</w:t>
      </w:r>
    </w:p>
    <w:p w:rsidR="00273D1E" w:rsidRDefault="00000000">
      <w:pPr>
        <w:spacing w:beforeLines="100" w:before="312" w:afterLines="100" w:after="312" w:line="360" w:lineRule="auto"/>
        <w:jc w:val="left"/>
        <w:rPr>
          <w:rFonts w:ascii="黑体" w:eastAsia="黑体" w:hAnsi="黑体" w:cs="黑体" w:hint="eastAsia"/>
          <w:color w:val="000000" w:themeColor="text1"/>
        </w:rPr>
      </w:pPr>
      <w:bookmarkStart w:id="4" w:name="_Toc80193465"/>
      <w:r>
        <w:rPr>
          <w:rFonts w:ascii="黑体" w:eastAsia="黑体" w:hAnsi="黑体" w:cs="黑体" w:hint="eastAsia"/>
          <w:color w:val="000000" w:themeColor="text1"/>
        </w:rPr>
        <w:t>1  范围</w:t>
      </w:r>
      <w:bookmarkEnd w:id="4"/>
    </w:p>
    <w:p w:rsidR="00273D1E" w:rsidRDefault="00000000">
      <w:pPr>
        <w:spacing w:line="360" w:lineRule="auto"/>
        <w:ind w:firstLineChars="200" w:firstLine="420"/>
        <w:jc w:val="left"/>
        <w:rPr>
          <w:color w:val="000000" w:themeColor="text1"/>
        </w:rPr>
      </w:pPr>
      <w:bookmarkStart w:id="5" w:name="_Toc80193466"/>
      <w:r>
        <w:rPr>
          <w:rFonts w:hint="eastAsia"/>
          <w:color w:val="000000" w:themeColor="text1"/>
        </w:rPr>
        <w:t>本文件规定了畜禽粪便卧式螺旋反应器好氧堆肥的术语和定义、设施选址与建设、堆肥原料及预处理、工艺控制、堆肥产品、环境保护与安全、档案管理等方面的要求。</w:t>
      </w:r>
    </w:p>
    <w:p w:rsidR="00273D1E" w:rsidRDefault="00000000">
      <w:pPr>
        <w:spacing w:line="360" w:lineRule="auto"/>
        <w:ind w:firstLineChars="200" w:firstLine="420"/>
        <w:jc w:val="left"/>
        <w:rPr>
          <w:color w:val="000000" w:themeColor="text1"/>
        </w:rPr>
      </w:pPr>
      <w:r>
        <w:rPr>
          <w:rFonts w:hint="eastAsia"/>
          <w:color w:val="000000" w:themeColor="text1"/>
        </w:rPr>
        <w:t>本文件适用于连云港地区使用卧式螺旋反应器的畜禽粪便好氧堆肥。</w:t>
      </w:r>
    </w:p>
    <w:p w:rsidR="00273D1E" w:rsidRDefault="00000000">
      <w:pPr>
        <w:spacing w:beforeLines="100" w:before="312" w:afterLines="100" w:after="312" w:line="360" w:lineRule="auto"/>
        <w:jc w:val="left"/>
        <w:rPr>
          <w:rFonts w:ascii="黑体" w:eastAsia="黑体" w:hAnsi="黑体" w:cs="黑体" w:hint="eastAsia"/>
          <w:color w:val="000000" w:themeColor="text1"/>
        </w:rPr>
      </w:pPr>
      <w:r>
        <w:rPr>
          <w:rFonts w:ascii="黑体" w:eastAsia="黑体" w:hAnsi="黑体" w:cs="黑体" w:hint="eastAsia"/>
          <w:color w:val="000000" w:themeColor="text1"/>
        </w:rPr>
        <w:t>2  规范性引用文件</w:t>
      </w:r>
      <w:bookmarkEnd w:id="5"/>
    </w:p>
    <w:p w:rsidR="00273D1E" w:rsidRDefault="00000000">
      <w:pPr>
        <w:pStyle w:val="affe"/>
        <w:spacing w:line="360" w:lineRule="auto"/>
        <w:ind w:firstLine="420"/>
        <w:rPr>
          <w:rFonts w:ascii="Times New Roman"/>
          <w:color w:val="000000" w:themeColor="text1"/>
        </w:rPr>
      </w:pPr>
      <w:r>
        <w:rPr>
          <w:rFonts w:ascii="Times New Roman"/>
          <w:color w:val="000000" w:themeColor="text1"/>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273D1E" w:rsidRDefault="00000000">
      <w:pPr>
        <w:spacing w:line="360" w:lineRule="auto"/>
        <w:ind w:firstLineChars="200" w:firstLine="420"/>
        <w:jc w:val="left"/>
        <w:rPr>
          <w:color w:val="000000" w:themeColor="text1"/>
          <w:szCs w:val="21"/>
        </w:rPr>
      </w:pPr>
      <w:bookmarkStart w:id="6" w:name="_Toc80193467"/>
      <w:bookmarkStart w:id="7" w:name="_Toc29173"/>
      <w:bookmarkStart w:id="8" w:name="_Toc20962"/>
      <w:r>
        <w:rPr>
          <w:color w:val="000000" w:themeColor="text1"/>
          <w:szCs w:val="21"/>
        </w:rPr>
        <w:t xml:space="preserve">GB 18596  </w:t>
      </w:r>
      <w:r>
        <w:rPr>
          <w:color w:val="000000" w:themeColor="text1"/>
          <w:szCs w:val="21"/>
        </w:rPr>
        <w:t>畜禽养殖业污染物排放标准</w:t>
      </w:r>
    </w:p>
    <w:p w:rsidR="00273D1E" w:rsidRDefault="00000000">
      <w:pPr>
        <w:spacing w:line="360" w:lineRule="auto"/>
        <w:ind w:firstLineChars="200" w:firstLine="420"/>
        <w:jc w:val="left"/>
        <w:rPr>
          <w:color w:val="000000" w:themeColor="text1"/>
          <w:szCs w:val="21"/>
        </w:rPr>
      </w:pPr>
      <w:r>
        <w:rPr>
          <w:color w:val="000000" w:themeColor="text1"/>
          <w:szCs w:val="21"/>
        </w:rPr>
        <w:t xml:space="preserve">GB/T 19524.1  </w:t>
      </w:r>
      <w:r>
        <w:rPr>
          <w:color w:val="000000" w:themeColor="text1"/>
          <w:szCs w:val="21"/>
        </w:rPr>
        <w:t>肥料中粪大肠菌群的测定</w:t>
      </w:r>
    </w:p>
    <w:p w:rsidR="00273D1E" w:rsidRDefault="00000000">
      <w:pPr>
        <w:spacing w:line="360" w:lineRule="auto"/>
        <w:ind w:firstLineChars="200" w:firstLine="420"/>
        <w:jc w:val="left"/>
        <w:rPr>
          <w:color w:val="000000" w:themeColor="text1"/>
          <w:szCs w:val="21"/>
        </w:rPr>
      </w:pPr>
      <w:r>
        <w:rPr>
          <w:color w:val="000000" w:themeColor="text1"/>
          <w:szCs w:val="21"/>
        </w:rPr>
        <w:t xml:space="preserve">GB/T 19524.2  </w:t>
      </w:r>
      <w:r>
        <w:rPr>
          <w:color w:val="000000" w:themeColor="text1"/>
          <w:szCs w:val="21"/>
        </w:rPr>
        <w:t>肥料中蛔虫</w:t>
      </w:r>
      <w:proofErr w:type="gramStart"/>
      <w:r>
        <w:rPr>
          <w:color w:val="000000" w:themeColor="text1"/>
          <w:szCs w:val="21"/>
        </w:rPr>
        <w:t>卵</w:t>
      </w:r>
      <w:proofErr w:type="gramEnd"/>
      <w:r>
        <w:rPr>
          <w:color w:val="000000" w:themeColor="text1"/>
          <w:szCs w:val="21"/>
        </w:rPr>
        <w:t>死亡率的测定</w:t>
      </w:r>
    </w:p>
    <w:p w:rsidR="00273D1E" w:rsidRDefault="00000000">
      <w:pPr>
        <w:spacing w:line="360" w:lineRule="auto"/>
        <w:ind w:firstLineChars="200" w:firstLine="420"/>
        <w:jc w:val="left"/>
        <w:rPr>
          <w:color w:val="000000" w:themeColor="text1"/>
          <w:szCs w:val="21"/>
        </w:rPr>
      </w:pPr>
      <w:r>
        <w:rPr>
          <w:color w:val="000000" w:themeColor="text1"/>
          <w:szCs w:val="21"/>
        </w:rPr>
        <w:t xml:space="preserve">GB 20287  </w:t>
      </w:r>
      <w:r>
        <w:rPr>
          <w:color w:val="000000" w:themeColor="text1"/>
          <w:szCs w:val="21"/>
        </w:rPr>
        <w:t>农用微生物菌剂</w:t>
      </w:r>
    </w:p>
    <w:p w:rsidR="00273D1E" w:rsidRDefault="00000000">
      <w:pPr>
        <w:spacing w:line="360" w:lineRule="auto"/>
        <w:ind w:firstLineChars="200" w:firstLine="420"/>
        <w:jc w:val="left"/>
        <w:rPr>
          <w:color w:val="000000" w:themeColor="text1"/>
          <w:szCs w:val="21"/>
        </w:rPr>
      </w:pPr>
      <w:r>
        <w:rPr>
          <w:color w:val="000000" w:themeColor="text1"/>
          <w:szCs w:val="21"/>
        </w:rPr>
        <w:t xml:space="preserve">GB/T 23349  </w:t>
      </w:r>
      <w:r>
        <w:rPr>
          <w:color w:val="000000" w:themeColor="text1"/>
          <w:szCs w:val="21"/>
        </w:rPr>
        <w:t>肥料中砷、镉、铬、铅、汞含量的测定</w:t>
      </w:r>
    </w:p>
    <w:p w:rsidR="00273D1E" w:rsidRDefault="00000000">
      <w:pPr>
        <w:spacing w:line="360" w:lineRule="auto"/>
        <w:ind w:firstLineChars="200" w:firstLine="420"/>
        <w:jc w:val="left"/>
        <w:rPr>
          <w:color w:val="000000" w:themeColor="text1"/>
          <w:szCs w:val="21"/>
        </w:rPr>
      </w:pPr>
      <w:r>
        <w:rPr>
          <w:color w:val="000000" w:themeColor="text1"/>
          <w:szCs w:val="21"/>
        </w:rPr>
        <w:t xml:space="preserve">GB/T 25246  </w:t>
      </w:r>
      <w:r>
        <w:rPr>
          <w:color w:val="000000" w:themeColor="text1"/>
          <w:szCs w:val="21"/>
        </w:rPr>
        <w:t>畜禽粪便还田技术规范</w:t>
      </w:r>
    </w:p>
    <w:p w:rsidR="00273D1E" w:rsidRDefault="00000000">
      <w:pPr>
        <w:spacing w:line="360" w:lineRule="auto"/>
        <w:ind w:firstLineChars="200" w:firstLine="420"/>
        <w:jc w:val="left"/>
        <w:rPr>
          <w:color w:val="000000" w:themeColor="text1"/>
          <w:szCs w:val="21"/>
        </w:rPr>
      </w:pPr>
      <w:r>
        <w:rPr>
          <w:color w:val="000000" w:themeColor="text1"/>
          <w:szCs w:val="21"/>
        </w:rPr>
        <w:t xml:space="preserve">GB/T 27622  </w:t>
      </w:r>
      <w:r>
        <w:rPr>
          <w:color w:val="000000" w:themeColor="text1"/>
          <w:szCs w:val="21"/>
        </w:rPr>
        <w:t>畜禽粪便贮存实施设计要求</w:t>
      </w:r>
    </w:p>
    <w:p w:rsidR="00273D1E" w:rsidRDefault="00000000">
      <w:pPr>
        <w:spacing w:line="360" w:lineRule="auto"/>
        <w:ind w:firstLineChars="200" w:firstLine="420"/>
        <w:jc w:val="left"/>
        <w:rPr>
          <w:color w:val="000000" w:themeColor="text1"/>
          <w:szCs w:val="21"/>
        </w:rPr>
      </w:pPr>
      <w:r>
        <w:rPr>
          <w:color w:val="000000" w:themeColor="text1"/>
          <w:szCs w:val="21"/>
        </w:rPr>
        <w:t xml:space="preserve">GB/T 36195  </w:t>
      </w:r>
      <w:r>
        <w:rPr>
          <w:color w:val="000000" w:themeColor="text1"/>
          <w:szCs w:val="21"/>
        </w:rPr>
        <w:t>畜禽粪便无害化处理技术规范</w:t>
      </w:r>
    </w:p>
    <w:p w:rsidR="00273D1E" w:rsidRDefault="00000000">
      <w:pPr>
        <w:spacing w:line="360" w:lineRule="auto"/>
        <w:ind w:firstLineChars="200" w:firstLine="420"/>
        <w:jc w:val="left"/>
        <w:rPr>
          <w:color w:val="000000" w:themeColor="text1"/>
          <w:szCs w:val="21"/>
        </w:rPr>
      </w:pPr>
      <w:r>
        <w:rPr>
          <w:color w:val="000000" w:themeColor="text1"/>
          <w:szCs w:val="21"/>
        </w:rPr>
        <w:t xml:space="preserve">NY/T 525  </w:t>
      </w:r>
      <w:r>
        <w:rPr>
          <w:color w:val="000000" w:themeColor="text1"/>
          <w:szCs w:val="21"/>
        </w:rPr>
        <w:t>有机肥料</w:t>
      </w:r>
    </w:p>
    <w:p w:rsidR="00273D1E" w:rsidRDefault="00000000">
      <w:pPr>
        <w:spacing w:line="360" w:lineRule="auto"/>
        <w:ind w:firstLineChars="200" w:firstLine="420"/>
        <w:jc w:val="left"/>
        <w:rPr>
          <w:color w:val="000000" w:themeColor="text1"/>
          <w:szCs w:val="21"/>
        </w:rPr>
      </w:pPr>
      <w:r>
        <w:rPr>
          <w:color w:val="000000" w:themeColor="text1"/>
          <w:szCs w:val="21"/>
        </w:rPr>
        <w:t xml:space="preserve">NY/T 682  </w:t>
      </w:r>
      <w:r>
        <w:rPr>
          <w:color w:val="000000" w:themeColor="text1"/>
          <w:szCs w:val="21"/>
        </w:rPr>
        <w:t>畜禽</w:t>
      </w:r>
      <w:proofErr w:type="gramStart"/>
      <w:r>
        <w:rPr>
          <w:color w:val="000000" w:themeColor="text1"/>
          <w:szCs w:val="21"/>
        </w:rPr>
        <w:t>场场区</w:t>
      </w:r>
      <w:proofErr w:type="gramEnd"/>
      <w:r>
        <w:rPr>
          <w:color w:val="000000" w:themeColor="text1"/>
          <w:szCs w:val="21"/>
        </w:rPr>
        <w:t>设计技术规范</w:t>
      </w:r>
    </w:p>
    <w:p w:rsidR="00273D1E" w:rsidRDefault="00000000">
      <w:pPr>
        <w:spacing w:line="360" w:lineRule="auto"/>
        <w:ind w:firstLineChars="200" w:firstLine="420"/>
        <w:jc w:val="left"/>
        <w:rPr>
          <w:color w:val="000000" w:themeColor="text1"/>
          <w:szCs w:val="21"/>
        </w:rPr>
      </w:pPr>
      <w:r>
        <w:rPr>
          <w:color w:val="000000" w:themeColor="text1"/>
          <w:szCs w:val="21"/>
        </w:rPr>
        <w:t xml:space="preserve">NY/T 1168  </w:t>
      </w:r>
      <w:r>
        <w:rPr>
          <w:color w:val="000000" w:themeColor="text1"/>
          <w:szCs w:val="21"/>
        </w:rPr>
        <w:t>畜禽粪便无害化处理技术规范</w:t>
      </w:r>
    </w:p>
    <w:p w:rsidR="00273D1E" w:rsidRDefault="00000000">
      <w:pPr>
        <w:spacing w:line="360" w:lineRule="auto"/>
        <w:ind w:firstLineChars="200" w:firstLine="420"/>
        <w:jc w:val="left"/>
        <w:rPr>
          <w:color w:val="000000" w:themeColor="text1"/>
          <w:szCs w:val="21"/>
        </w:rPr>
      </w:pPr>
      <w:r>
        <w:rPr>
          <w:color w:val="000000" w:themeColor="text1"/>
          <w:szCs w:val="21"/>
        </w:rPr>
        <w:t xml:space="preserve">NY/T 3023  </w:t>
      </w:r>
      <w:r>
        <w:rPr>
          <w:color w:val="000000" w:themeColor="text1"/>
          <w:szCs w:val="21"/>
        </w:rPr>
        <w:t>畜禽粪污处理场建设标准</w:t>
      </w:r>
    </w:p>
    <w:p w:rsidR="00273D1E" w:rsidRDefault="00000000">
      <w:pPr>
        <w:spacing w:line="360" w:lineRule="auto"/>
        <w:ind w:firstLineChars="200" w:firstLine="420"/>
        <w:jc w:val="left"/>
        <w:rPr>
          <w:color w:val="000000" w:themeColor="text1"/>
          <w:szCs w:val="21"/>
        </w:rPr>
      </w:pPr>
      <w:r>
        <w:rPr>
          <w:color w:val="000000" w:themeColor="text1"/>
          <w:szCs w:val="21"/>
        </w:rPr>
        <w:t xml:space="preserve">NY/T 3442  </w:t>
      </w:r>
      <w:r>
        <w:rPr>
          <w:color w:val="000000" w:themeColor="text1"/>
          <w:szCs w:val="21"/>
        </w:rPr>
        <w:t>畜禽粪便堆肥技术规范</w:t>
      </w:r>
    </w:p>
    <w:p w:rsidR="00273D1E" w:rsidRDefault="00000000">
      <w:pPr>
        <w:spacing w:line="360" w:lineRule="auto"/>
        <w:ind w:firstLineChars="200" w:firstLine="420"/>
        <w:jc w:val="left"/>
        <w:rPr>
          <w:color w:val="000000" w:themeColor="text1"/>
          <w:szCs w:val="21"/>
        </w:rPr>
      </w:pPr>
      <w:r>
        <w:rPr>
          <w:color w:val="000000" w:themeColor="text1"/>
          <w:szCs w:val="21"/>
        </w:rPr>
        <w:t xml:space="preserve">NY/T 3877  </w:t>
      </w:r>
      <w:r>
        <w:rPr>
          <w:color w:val="000000" w:themeColor="text1"/>
          <w:szCs w:val="21"/>
        </w:rPr>
        <w:t>畜禽粪便土地承载力测算方法</w:t>
      </w:r>
    </w:p>
    <w:p w:rsidR="00273D1E" w:rsidRDefault="00000000">
      <w:pPr>
        <w:spacing w:beforeLines="100" w:before="312" w:afterLines="100" w:after="312" w:line="360" w:lineRule="auto"/>
        <w:jc w:val="left"/>
        <w:rPr>
          <w:rFonts w:ascii="黑体" w:eastAsia="黑体" w:hAnsi="黑体" w:cs="黑体" w:hint="eastAsia"/>
          <w:color w:val="000000" w:themeColor="text1"/>
        </w:rPr>
      </w:pPr>
      <w:r>
        <w:rPr>
          <w:rFonts w:ascii="黑体" w:eastAsia="黑体" w:hAnsi="黑体" w:cs="黑体" w:hint="eastAsia"/>
          <w:color w:val="000000" w:themeColor="text1"/>
        </w:rPr>
        <w:lastRenderedPageBreak/>
        <w:t>3  术语和定义</w:t>
      </w:r>
      <w:bookmarkEnd w:id="6"/>
      <w:bookmarkEnd w:id="7"/>
      <w:bookmarkEnd w:id="8"/>
    </w:p>
    <w:p w:rsidR="00273D1E" w:rsidRDefault="00000000">
      <w:pPr>
        <w:pStyle w:val="a1"/>
        <w:numPr>
          <w:ilvl w:val="0"/>
          <w:numId w:val="0"/>
        </w:numPr>
        <w:spacing w:beforeLines="0" w:afterLines="0" w:line="360" w:lineRule="auto"/>
        <w:ind w:firstLineChars="200" w:firstLine="420"/>
        <w:rPr>
          <w:rFonts w:asciiTheme="minorEastAsia" w:eastAsiaTheme="minorEastAsia" w:hAnsiTheme="minorEastAsia" w:hint="eastAsia"/>
          <w:color w:val="000000" w:themeColor="text1"/>
          <w:szCs w:val="20"/>
        </w:rPr>
      </w:pPr>
      <w:r>
        <w:rPr>
          <w:rFonts w:asciiTheme="minorEastAsia" w:eastAsiaTheme="minorEastAsia" w:hAnsiTheme="minorEastAsia" w:hint="eastAsia"/>
          <w:color w:val="000000" w:themeColor="text1"/>
          <w:szCs w:val="20"/>
        </w:rPr>
        <w:t>下列术语和定义适用于本文件</w:t>
      </w:r>
      <w:r>
        <w:rPr>
          <w:rFonts w:asciiTheme="minorEastAsia" w:eastAsiaTheme="minorEastAsia" w:hAnsiTheme="minorEastAsia"/>
          <w:color w:val="000000" w:themeColor="text1"/>
          <w:szCs w:val="20"/>
        </w:rPr>
        <w:t>。</w:t>
      </w:r>
    </w:p>
    <w:p w:rsidR="00273D1E" w:rsidRDefault="00000000">
      <w:pPr>
        <w:pStyle w:val="a1"/>
        <w:numPr>
          <w:ilvl w:val="0"/>
          <w:numId w:val="0"/>
        </w:numPr>
        <w:spacing w:before="156" w:after="156" w:line="360" w:lineRule="auto"/>
        <w:rPr>
          <w:rFonts w:hAnsi="黑体" w:cs="黑体" w:hint="eastAsia"/>
          <w:color w:val="000000" w:themeColor="text1"/>
          <w:kern w:val="2"/>
          <w:szCs w:val="24"/>
        </w:rPr>
      </w:pPr>
      <w:r>
        <w:rPr>
          <w:rFonts w:hAnsi="黑体" w:cs="黑体" w:hint="eastAsia"/>
          <w:color w:val="000000" w:themeColor="text1"/>
          <w:kern w:val="2"/>
          <w:szCs w:val="24"/>
        </w:rPr>
        <w:t>3.1</w:t>
      </w:r>
    </w:p>
    <w:p w:rsidR="00273D1E" w:rsidRDefault="00000000">
      <w:pPr>
        <w:pStyle w:val="aff8"/>
        <w:spacing w:line="360" w:lineRule="auto"/>
        <w:jc w:val="left"/>
        <w:rPr>
          <w:rFonts w:ascii="Times New Roman" w:eastAsia="黑体"/>
        </w:rPr>
      </w:pPr>
      <w:r>
        <w:rPr>
          <w:rFonts w:ascii="Times New Roman" w:eastAsia="黑体" w:hint="eastAsia"/>
        </w:rPr>
        <w:t>卧式螺旋反应器</w:t>
      </w:r>
      <w:r>
        <w:rPr>
          <w:rFonts w:ascii="Times New Roman" w:eastAsia="黑体" w:hint="eastAsia"/>
        </w:rPr>
        <w:t xml:space="preserve"> </w:t>
      </w:r>
      <w:r>
        <w:rPr>
          <w:rFonts w:ascii="黑体" w:eastAsia="黑体" w:hAnsi="黑体" w:hint="eastAsia"/>
        </w:rPr>
        <w:t>horizontal spiral reactor</w:t>
      </w:r>
    </w:p>
    <w:p w:rsidR="00273D1E" w:rsidRDefault="00000000">
      <w:pPr>
        <w:pStyle w:val="aff8"/>
        <w:spacing w:line="360" w:lineRule="auto"/>
        <w:jc w:val="left"/>
        <w:rPr>
          <w:rFonts w:ascii="Times New Roman"/>
        </w:rPr>
      </w:pPr>
      <w:r>
        <w:rPr>
          <w:rFonts w:ascii="Times New Roman" w:hint="eastAsia"/>
          <w:color w:val="000000" w:themeColor="text1"/>
          <w:kern w:val="2"/>
          <w:szCs w:val="24"/>
        </w:rPr>
        <w:t>将进出料、曝气、搅拌和除臭融为一体，具有加热、搅拌、通气等功能的卧式好氧堆肥设备。</w:t>
      </w:r>
    </w:p>
    <w:p w:rsidR="00273D1E" w:rsidRDefault="00000000">
      <w:pPr>
        <w:spacing w:beforeLines="100" w:before="312" w:afterLines="100" w:after="312" w:line="360" w:lineRule="auto"/>
        <w:jc w:val="left"/>
        <w:rPr>
          <w:rFonts w:ascii="黑体" w:eastAsia="黑体" w:hAnsi="黑体" w:cs="黑体" w:hint="eastAsia"/>
          <w:color w:val="000000" w:themeColor="text1"/>
        </w:rPr>
      </w:pPr>
      <w:r>
        <w:rPr>
          <w:rFonts w:ascii="黑体" w:eastAsia="黑体" w:hAnsi="黑体" w:cs="黑体" w:hint="eastAsia"/>
          <w:color w:val="000000" w:themeColor="text1"/>
        </w:rPr>
        <w:t>4  设施选址与建设护</w:t>
      </w:r>
    </w:p>
    <w:p w:rsidR="00273D1E" w:rsidRDefault="00000000">
      <w:pPr>
        <w:widowControl/>
        <w:autoSpaceDE w:val="0"/>
        <w:autoSpaceDN w:val="0"/>
        <w:spacing w:beforeLines="50" w:before="156" w:afterLines="50" w:after="156" w:line="360" w:lineRule="auto"/>
        <w:jc w:val="left"/>
        <w:rPr>
          <w:rFonts w:ascii="黑体" w:eastAsia="黑体" w:hAnsi="黑体" w:cs="黑体" w:hint="eastAsia"/>
          <w:color w:val="000000" w:themeColor="text1"/>
          <w:szCs w:val="22"/>
        </w:rPr>
      </w:pPr>
      <w:r>
        <w:rPr>
          <w:rFonts w:ascii="黑体" w:eastAsia="黑体" w:hAnsi="黑体" w:cs="黑体" w:hint="eastAsia"/>
          <w:color w:val="000000" w:themeColor="text1"/>
          <w:szCs w:val="22"/>
        </w:rPr>
        <w:t>4.1  选址</w:t>
      </w:r>
    </w:p>
    <w:p w:rsidR="00273D1E" w:rsidRDefault="00000000">
      <w:pPr>
        <w:spacing w:line="360" w:lineRule="auto"/>
        <w:jc w:val="left"/>
        <w:rPr>
          <w:color w:val="000000" w:themeColor="text1"/>
        </w:rPr>
      </w:pPr>
      <w:r>
        <w:rPr>
          <w:rFonts w:ascii="黑体" w:eastAsia="黑体" w:hAnsi="黑体" w:hint="eastAsia"/>
          <w:color w:val="000000" w:themeColor="text1"/>
        </w:rPr>
        <w:t>4.1.1</w:t>
      </w:r>
      <w:r>
        <w:rPr>
          <w:rFonts w:hint="eastAsia"/>
          <w:color w:val="000000" w:themeColor="text1"/>
        </w:rPr>
        <w:t xml:space="preserve">  </w:t>
      </w:r>
      <w:r>
        <w:rPr>
          <w:rFonts w:hint="eastAsia"/>
          <w:color w:val="000000" w:themeColor="text1"/>
        </w:rPr>
        <w:t>应符合村镇建设发展规划、土地利用发展规划和环境保护规划。</w:t>
      </w:r>
    </w:p>
    <w:p w:rsidR="00273D1E" w:rsidRDefault="00000000">
      <w:pPr>
        <w:spacing w:line="360" w:lineRule="auto"/>
        <w:jc w:val="left"/>
        <w:rPr>
          <w:color w:val="000000" w:themeColor="text1"/>
        </w:rPr>
      </w:pPr>
      <w:r>
        <w:rPr>
          <w:rFonts w:ascii="黑体" w:eastAsia="黑体" w:hAnsi="黑体" w:hint="eastAsia"/>
          <w:color w:val="000000" w:themeColor="text1"/>
        </w:rPr>
        <w:t>4.1.2</w:t>
      </w:r>
      <w:r>
        <w:rPr>
          <w:rFonts w:hint="eastAsia"/>
          <w:color w:val="000000" w:themeColor="text1"/>
        </w:rPr>
        <w:t xml:space="preserve">  </w:t>
      </w:r>
      <w:r>
        <w:rPr>
          <w:rFonts w:hint="eastAsia"/>
          <w:color w:val="000000" w:themeColor="text1"/>
        </w:rPr>
        <w:t>法律法规规定的、县级人民政府依法划定的禁养区禁止建设禽粪便相关处理设施。</w:t>
      </w:r>
    </w:p>
    <w:p w:rsidR="00273D1E" w:rsidRDefault="00000000">
      <w:pPr>
        <w:widowControl/>
        <w:autoSpaceDE w:val="0"/>
        <w:autoSpaceDN w:val="0"/>
        <w:spacing w:beforeLines="50" w:before="156" w:afterLines="50" w:after="156" w:line="360" w:lineRule="auto"/>
        <w:jc w:val="left"/>
        <w:rPr>
          <w:rFonts w:ascii="黑体" w:eastAsia="黑体" w:hAnsi="黑体" w:cs="黑体" w:hint="eastAsia"/>
          <w:color w:val="000000" w:themeColor="text1"/>
          <w:szCs w:val="22"/>
        </w:rPr>
      </w:pPr>
      <w:r>
        <w:rPr>
          <w:rFonts w:ascii="黑体" w:eastAsia="黑体" w:hAnsi="黑体" w:cs="黑体" w:hint="eastAsia"/>
          <w:color w:val="000000" w:themeColor="text1"/>
          <w:szCs w:val="22"/>
        </w:rPr>
        <w:t>4.2  建设</w:t>
      </w:r>
    </w:p>
    <w:p w:rsidR="00273D1E" w:rsidRDefault="00000000">
      <w:pPr>
        <w:spacing w:line="360" w:lineRule="auto"/>
        <w:jc w:val="left"/>
        <w:rPr>
          <w:color w:val="000000" w:themeColor="text1"/>
        </w:rPr>
      </w:pPr>
      <w:r>
        <w:rPr>
          <w:rFonts w:ascii="黑体" w:eastAsia="黑体" w:hAnsi="黑体" w:hint="eastAsia"/>
          <w:color w:val="000000" w:themeColor="text1"/>
        </w:rPr>
        <w:t>4.2.1</w:t>
      </w:r>
      <w:r>
        <w:rPr>
          <w:rFonts w:hint="eastAsia"/>
          <w:color w:val="000000" w:themeColor="text1"/>
        </w:rPr>
        <w:t xml:space="preserve">  </w:t>
      </w:r>
      <w:r>
        <w:rPr>
          <w:rFonts w:hint="eastAsia"/>
          <w:color w:val="000000" w:themeColor="text1"/>
        </w:rPr>
        <w:t>场地设施应包括粪便贮存区、预处理区、</w:t>
      </w:r>
      <w:proofErr w:type="gramStart"/>
      <w:r>
        <w:rPr>
          <w:rFonts w:hint="eastAsia"/>
          <w:color w:val="000000" w:themeColor="text1"/>
        </w:rPr>
        <w:t>发酵区</w:t>
      </w:r>
      <w:proofErr w:type="gramEnd"/>
      <w:r>
        <w:rPr>
          <w:rFonts w:hint="eastAsia"/>
          <w:color w:val="000000" w:themeColor="text1"/>
        </w:rPr>
        <w:t>和后处理区，粪便贮存应符合</w:t>
      </w:r>
      <w:r>
        <w:rPr>
          <w:rFonts w:hint="eastAsia"/>
          <w:color w:val="000000" w:themeColor="text1"/>
        </w:rPr>
        <w:t>GB/T 27622</w:t>
      </w:r>
      <w:r>
        <w:rPr>
          <w:rFonts w:hint="eastAsia"/>
          <w:color w:val="000000" w:themeColor="text1"/>
        </w:rPr>
        <w:t>的规定。辅助工程应包括污水处置、仓库和消防。</w:t>
      </w:r>
    </w:p>
    <w:p w:rsidR="00273D1E" w:rsidRDefault="00000000">
      <w:pPr>
        <w:spacing w:line="360" w:lineRule="auto"/>
        <w:jc w:val="left"/>
        <w:rPr>
          <w:color w:val="000000" w:themeColor="text1"/>
        </w:rPr>
      </w:pPr>
      <w:r>
        <w:rPr>
          <w:rFonts w:ascii="黑体" w:eastAsia="黑体" w:hAnsi="黑体" w:hint="eastAsia"/>
          <w:color w:val="000000" w:themeColor="text1"/>
        </w:rPr>
        <w:t>4.2.2</w:t>
      </w:r>
      <w:r>
        <w:rPr>
          <w:rFonts w:hint="eastAsia"/>
          <w:color w:val="000000" w:themeColor="text1"/>
        </w:rPr>
        <w:t xml:space="preserve">  </w:t>
      </w:r>
      <w:r>
        <w:rPr>
          <w:rFonts w:hint="eastAsia"/>
          <w:color w:val="000000" w:themeColor="text1"/>
        </w:rPr>
        <w:t>场内应建设堆肥渗滤液的贮存池及防渗漏措施，配置防雨</w:t>
      </w:r>
      <w:proofErr w:type="gramStart"/>
      <w:r>
        <w:rPr>
          <w:rFonts w:hint="eastAsia"/>
          <w:color w:val="000000" w:themeColor="text1"/>
        </w:rPr>
        <w:t>淋</w:t>
      </w:r>
      <w:proofErr w:type="gramEnd"/>
      <w:r>
        <w:rPr>
          <w:rFonts w:hint="eastAsia"/>
          <w:color w:val="000000" w:themeColor="text1"/>
        </w:rPr>
        <w:t>设施和雨水排水系统，不应对地下水造成污染。</w:t>
      </w:r>
    </w:p>
    <w:p w:rsidR="00273D1E" w:rsidRDefault="00000000">
      <w:pPr>
        <w:spacing w:line="360" w:lineRule="auto"/>
        <w:jc w:val="left"/>
        <w:rPr>
          <w:color w:val="000000" w:themeColor="text1"/>
        </w:rPr>
      </w:pPr>
      <w:r>
        <w:rPr>
          <w:rFonts w:ascii="黑体" w:eastAsia="黑体" w:hAnsi="黑体" w:hint="eastAsia"/>
          <w:color w:val="000000" w:themeColor="text1"/>
        </w:rPr>
        <w:t>4.2.3</w:t>
      </w:r>
      <w:r>
        <w:rPr>
          <w:rFonts w:hint="eastAsia"/>
          <w:color w:val="000000" w:themeColor="text1"/>
        </w:rPr>
        <w:t xml:space="preserve">  </w:t>
      </w:r>
      <w:r>
        <w:rPr>
          <w:rFonts w:hint="eastAsia"/>
          <w:color w:val="000000" w:themeColor="text1"/>
        </w:rPr>
        <w:t>设置在养殖场内的堆肥设施应按照</w:t>
      </w:r>
      <w:r>
        <w:rPr>
          <w:rFonts w:hint="eastAsia"/>
          <w:color w:val="000000" w:themeColor="text1"/>
        </w:rPr>
        <w:t>NY/T 682</w:t>
      </w:r>
      <w:r>
        <w:rPr>
          <w:rFonts w:hint="eastAsia"/>
          <w:color w:val="000000" w:themeColor="text1"/>
        </w:rPr>
        <w:t>的规定设计，独立建设的畜禽粪便处理场地应符合</w:t>
      </w:r>
      <w:r>
        <w:rPr>
          <w:rFonts w:hint="eastAsia"/>
          <w:color w:val="000000" w:themeColor="text1"/>
        </w:rPr>
        <w:t>NY/T 3023</w:t>
      </w:r>
      <w:r>
        <w:rPr>
          <w:rFonts w:hint="eastAsia"/>
          <w:color w:val="000000" w:themeColor="text1"/>
        </w:rPr>
        <w:t>和</w:t>
      </w:r>
      <w:r>
        <w:rPr>
          <w:rFonts w:hint="eastAsia"/>
          <w:color w:val="000000" w:themeColor="text1"/>
        </w:rPr>
        <w:t>GB/T 36195</w:t>
      </w:r>
      <w:r>
        <w:rPr>
          <w:rFonts w:hint="eastAsia"/>
          <w:color w:val="000000" w:themeColor="text1"/>
        </w:rPr>
        <w:t>的规定。</w:t>
      </w:r>
    </w:p>
    <w:p w:rsidR="00273D1E" w:rsidRDefault="00000000">
      <w:pPr>
        <w:pStyle w:val="a6"/>
        <w:numPr>
          <w:ilvl w:val="1"/>
          <w:numId w:val="0"/>
        </w:numPr>
        <w:spacing w:before="312" w:after="312"/>
      </w:pPr>
      <w:r>
        <w:rPr>
          <w:rFonts w:hint="eastAsia"/>
        </w:rPr>
        <w:t>5  堆肥原料及预处理</w:t>
      </w:r>
    </w:p>
    <w:p w:rsidR="00273D1E" w:rsidRDefault="00000000">
      <w:pPr>
        <w:widowControl/>
        <w:autoSpaceDE w:val="0"/>
        <w:autoSpaceDN w:val="0"/>
        <w:spacing w:beforeLines="50" w:before="156" w:afterLines="50" w:after="156" w:line="360" w:lineRule="auto"/>
        <w:jc w:val="left"/>
        <w:rPr>
          <w:rFonts w:ascii="黑体" w:eastAsia="黑体" w:hAnsi="黑体" w:cs="黑体" w:hint="eastAsia"/>
          <w:color w:val="000000" w:themeColor="text1"/>
          <w:szCs w:val="22"/>
        </w:rPr>
      </w:pPr>
      <w:r>
        <w:rPr>
          <w:rFonts w:ascii="黑体" w:eastAsia="黑体" w:hAnsi="黑体" w:cs="黑体" w:hint="eastAsia"/>
          <w:color w:val="000000" w:themeColor="text1"/>
          <w:szCs w:val="22"/>
        </w:rPr>
        <w:t>5.1  原料</w:t>
      </w:r>
    </w:p>
    <w:p w:rsidR="00273D1E" w:rsidRDefault="00000000">
      <w:pPr>
        <w:pStyle w:val="affe"/>
        <w:spacing w:before="156" w:after="156"/>
        <w:ind w:firstLine="420"/>
      </w:pPr>
      <w:r>
        <w:rPr>
          <w:rFonts w:hint="eastAsia"/>
        </w:rPr>
        <w:t>包括主料和辅料，主料为畜禽粪便，辅料为秸秆、杂草、木屑、落叶、</w:t>
      </w:r>
      <w:proofErr w:type="gramStart"/>
      <w:r>
        <w:rPr>
          <w:rFonts w:hint="eastAsia"/>
        </w:rPr>
        <w:t>食用菌菌渣等</w:t>
      </w:r>
      <w:proofErr w:type="gramEnd"/>
      <w:r>
        <w:rPr>
          <w:rFonts w:hint="eastAsia"/>
        </w:rPr>
        <w:t>。</w:t>
      </w:r>
    </w:p>
    <w:p w:rsidR="00273D1E" w:rsidRDefault="00000000">
      <w:pPr>
        <w:widowControl/>
        <w:autoSpaceDE w:val="0"/>
        <w:autoSpaceDN w:val="0"/>
        <w:spacing w:beforeLines="50" w:before="156" w:afterLines="50" w:after="156" w:line="360" w:lineRule="auto"/>
        <w:jc w:val="left"/>
        <w:rPr>
          <w:rFonts w:ascii="黑体" w:eastAsia="黑体" w:hAnsi="黑体" w:cs="黑体" w:hint="eastAsia"/>
          <w:color w:val="000000" w:themeColor="text1"/>
          <w:szCs w:val="22"/>
        </w:rPr>
      </w:pPr>
      <w:r>
        <w:rPr>
          <w:rFonts w:ascii="黑体" w:eastAsia="黑体" w:hAnsi="黑体" w:cs="黑体" w:hint="eastAsia"/>
          <w:color w:val="000000" w:themeColor="text1"/>
          <w:szCs w:val="22"/>
        </w:rPr>
        <w:t>5.2  粉碎</w:t>
      </w:r>
    </w:p>
    <w:p w:rsidR="00273D1E" w:rsidRDefault="00000000">
      <w:pPr>
        <w:pStyle w:val="affe"/>
        <w:spacing w:before="156" w:after="156"/>
        <w:ind w:firstLine="420"/>
      </w:pPr>
      <w:r>
        <w:rPr>
          <w:rFonts w:hint="eastAsia"/>
        </w:rPr>
        <w:t>堆肥前辅料应进行必要的破碎，堆料粒径≤</w:t>
      </w:r>
      <w:r>
        <w:rPr>
          <w:rFonts w:ascii="Times New Roman"/>
        </w:rPr>
        <w:t>10 mm</w:t>
      </w:r>
      <w:r>
        <w:rPr>
          <w:rFonts w:hint="eastAsia"/>
        </w:rPr>
        <w:t>。</w:t>
      </w:r>
    </w:p>
    <w:p w:rsidR="00273D1E" w:rsidRDefault="00000000">
      <w:pPr>
        <w:widowControl/>
        <w:autoSpaceDE w:val="0"/>
        <w:autoSpaceDN w:val="0"/>
        <w:spacing w:beforeLines="50" w:before="156" w:afterLines="50" w:after="156" w:line="360" w:lineRule="auto"/>
        <w:jc w:val="left"/>
        <w:rPr>
          <w:rFonts w:ascii="黑体" w:eastAsia="黑体" w:hAnsi="黑体" w:cs="黑体" w:hint="eastAsia"/>
          <w:color w:val="000000" w:themeColor="text1"/>
          <w:szCs w:val="22"/>
        </w:rPr>
      </w:pPr>
      <w:r>
        <w:rPr>
          <w:rFonts w:ascii="黑体" w:eastAsia="黑体" w:hAnsi="黑体" w:cs="黑体" w:hint="eastAsia"/>
          <w:color w:val="000000" w:themeColor="text1"/>
          <w:szCs w:val="22"/>
        </w:rPr>
        <w:t>5.3  碳氮比</w:t>
      </w:r>
    </w:p>
    <w:p w:rsidR="00273D1E" w:rsidRDefault="00000000">
      <w:pPr>
        <w:widowControl/>
        <w:autoSpaceDE w:val="0"/>
        <w:autoSpaceDN w:val="0"/>
        <w:spacing w:line="360" w:lineRule="auto"/>
        <w:ind w:firstLineChars="200" w:firstLine="420"/>
        <w:jc w:val="left"/>
        <w:rPr>
          <w:color w:val="000000" w:themeColor="text1"/>
        </w:rPr>
      </w:pPr>
      <w:r>
        <w:rPr>
          <w:rFonts w:hint="eastAsia"/>
          <w:color w:val="000000" w:themeColor="text1"/>
        </w:rPr>
        <w:lastRenderedPageBreak/>
        <w:t>堆肥物料碳氮比（</w:t>
      </w:r>
      <w:r>
        <w:rPr>
          <w:rFonts w:hint="eastAsia"/>
          <w:color w:val="000000" w:themeColor="text1"/>
        </w:rPr>
        <w:t>C/N</w:t>
      </w:r>
      <w:r>
        <w:rPr>
          <w:rFonts w:hint="eastAsia"/>
          <w:color w:val="000000" w:themeColor="text1"/>
        </w:rPr>
        <w:t>）宜为</w:t>
      </w:r>
      <w:r>
        <w:rPr>
          <w:color w:val="000000" w:themeColor="text1"/>
        </w:rPr>
        <w:t xml:space="preserve"> 25:1</w:t>
      </w:r>
      <w:r>
        <w:rPr>
          <w:color w:val="000000" w:themeColor="text1"/>
        </w:rPr>
        <w:t>～</w:t>
      </w:r>
      <w:r>
        <w:rPr>
          <w:color w:val="000000" w:themeColor="text1"/>
        </w:rPr>
        <w:t>30:1</w:t>
      </w:r>
      <w:r>
        <w:rPr>
          <w:rFonts w:hint="eastAsia"/>
          <w:color w:val="000000" w:themeColor="text1"/>
        </w:rPr>
        <w:t>，即主料宜占堆肥物料的</w:t>
      </w:r>
      <w:r>
        <w:rPr>
          <w:color w:val="000000" w:themeColor="text1"/>
        </w:rPr>
        <w:t>70%</w:t>
      </w:r>
      <w:r>
        <w:rPr>
          <w:color w:val="000000" w:themeColor="text1"/>
        </w:rPr>
        <w:t>～</w:t>
      </w:r>
      <w:r>
        <w:rPr>
          <w:color w:val="000000" w:themeColor="text1"/>
        </w:rPr>
        <w:t>80%</w:t>
      </w:r>
      <w:r>
        <w:rPr>
          <w:rFonts w:hint="eastAsia"/>
          <w:color w:val="000000" w:themeColor="text1"/>
        </w:rPr>
        <w:t>，可通过添加辅料或畜禽粪便进行调节。</w:t>
      </w:r>
    </w:p>
    <w:p w:rsidR="00273D1E" w:rsidRDefault="00000000">
      <w:pPr>
        <w:widowControl/>
        <w:autoSpaceDE w:val="0"/>
        <w:autoSpaceDN w:val="0"/>
        <w:spacing w:beforeLines="50" w:before="156" w:afterLines="50" w:after="156" w:line="360" w:lineRule="auto"/>
        <w:jc w:val="left"/>
        <w:rPr>
          <w:rFonts w:ascii="黑体" w:eastAsia="黑体" w:hAnsi="黑体" w:cs="黑体" w:hint="eastAsia"/>
          <w:color w:val="000000" w:themeColor="text1"/>
          <w:szCs w:val="22"/>
        </w:rPr>
      </w:pPr>
      <w:r>
        <w:rPr>
          <w:rFonts w:ascii="黑体" w:eastAsia="黑体" w:hAnsi="黑体" w:cs="黑体" w:hint="eastAsia"/>
          <w:color w:val="000000" w:themeColor="text1"/>
          <w:szCs w:val="22"/>
        </w:rPr>
        <w:t>5.4  酸碱度</w:t>
      </w:r>
    </w:p>
    <w:p w:rsidR="00273D1E" w:rsidRDefault="00000000">
      <w:pPr>
        <w:widowControl/>
        <w:autoSpaceDE w:val="0"/>
        <w:autoSpaceDN w:val="0"/>
        <w:spacing w:line="360" w:lineRule="auto"/>
        <w:ind w:firstLineChars="200" w:firstLine="420"/>
        <w:jc w:val="left"/>
        <w:rPr>
          <w:color w:val="000000" w:themeColor="text1"/>
        </w:rPr>
      </w:pPr>
      <w:r>
        <w:rPr>
          <w:rFonts w:hint="eastAsia"/>
          <w:color w:val="000000" w:themeColor="text1"/>
        </w:rPr>
        <w:t>堆肥粪便的酸碱度（</w:t>
      </w:r>
      <w:r>
        <w:rPr>
          <w:color w:val="000000" w:themeColor="text1"/>
        </w:rPr>
        <w:t>pH</w:t>
      </w:r>
      <w:r>
        <w:rPr>
          <w:rFonts w:hint="eastAsia"/>
          <w:color w:val="000000" w:themeColor="text1"/>
        </w:rPr>
        <w:t>值）应控制在</w:t>
      </w:r>
      <w:r>
        <w:rPr>
          <w:color w:val="000000" w:themeColor="text1"/>
        </w:rPr>
        <w:t>6.0</w:t>
      </w:r>
      <w:r>
        <w:rPr>
          <w:color w:val="000000" w:themeColor="text1"/>
        </w:rPr>
        <w:t>～</w:t>
      </w:r>
      <w:r>
        <w:rPr>
          <w:color w:val="000000" w:themeColor="text1"/>
        </w:rPr>
        <w:t>9.0</w:t>
      </w:r>
      <w:r>
        <w:rPr>
          <w:rFonts w:hint="eastAsia"/>
          <w:color w:val="000000" w:themeColor="text1"/>
        </w:rPr>
        <w:t>之间，可通过添加磷酸二氢钾等酸性物质或生石灰等碱性物质进行调节。</w:t>
      </w:r>
    </w:p>
    <w:p w:rsidR="00273D1E" w:rsidRDefault="00000000">
      <w:pPr>
        <w:widowControl/>
        <w:autoSpaceDE w:val="0"/>
        <w:autoSpaceDN w:val="0"/>
        <w:spacing w:beforeLines="50" w:before="156" w:afterLines="50" w:after="156" w:line="360" w:lineRule="auto"/>
        <w:jc w:val="left"/>
        <w:rPr>
          <w:rFonts w:ascii="黑体" w:eastAsia="黑体" w:hAnsi="黑体" w:cs="黑体" w:hint="eastAsia"/>
          <w:color w:val="000000" w:themeColor="text1"/>
          <w:szCs w:val="22"/>
        </w:rPr>
      </w:pPr>
      <w:r>
        <w:rPr>
          <w:rFonts w:ascii="黑体" w:eastAsia="黑体" w:hAnsi="黑体" w:cs="黑体" w:hint="eastAsia"/>
          <w:color w:val="000000" w:themeColor="text1"/>
          <w:szCs w:val="22"/>
        </w:rPr>
        <w:t>5.5  含水率</w:t>
      </w:r>
    </w:p>
    <w:p w:rsidR="00273D1E" w:rsidRDefault="00000000">
      <w:pPr>
        <w:widowControl/>
        <w:autoSpaceDE w:val="0"/>
        <w:autoSpaceDN w:val="0"/>
        <w:spacing w:line="360" w:lineRule="auto"/>
        <w:ind w:firstLineChars="200" w:firstLine="420"/>
        <w:jc w:val="left"/>
        <w:rPr>
          <w:color w:val="000000" w:themeColor="text1"/>
        </w:rPr>
      </w:pPr>
      <w:r>
        <w:rPr>
          <w:rFonts w:hint="eastAsia"/>
          <w:color w:val="000000" w:themeColor="text1"/>
        </w:rPr>
        <w:t>畜禽粪便的初始含水率应≤</w:t>
      </w:r>
      <w:r>
        <w:rPr>
          <w:color w:val="000000" w:themeColor="text1"/>
        </w:rPr>
        <w:t>75%</w:t>
      </w:r>
      <w:r>
        <w:rPr>
          <w:rFonts w:hint="eastAsia"/>
          <w:color w:val="000000" w:themeColor="text1"/>
        </w:rPr>
        <w:t>，宜通过添加干、湿物料或</w:t>
      </w:r>
      <w:proofErr w:type="gramStart"/>
      <w:r>
        <w:rPr>
          <w:rFonts w:hint="eastAsia"/>
          <w:color w:val="000000" w:themeColor="text1"/>
        </w:rPr>
        <w:t>粪污等调节</w:t>
      </w:r>
      <w:proofErr w:type="gramEnd"/>
      <w:r>
        <w:rPr>
          <w:rFonts w:hint="eastAsia"/>
          <w:color w:val="000000" w:themeColor="text1"/>
        </w:rPr>
        <w:t>堆肥物料的</w:t>
      </w:r>
      <w:proofErr w:type="gramStart"/>
      <w:r>
        <w:rPr>
          <w:rFonts w:hint="eastAsia"/>
          <w:color w:val="000000" w:themeColor="text1"/>
        </w:rPr>
        <w:t>含水率至</w:t>
      </w:r>
      <w:proofErr w:type="gramEnd"/>
      <w:r>
        <w:rPr>
          <w:color w:val="000000" w:themeColor="text1"/>
        </w:rPr>
        <w:t>50%</w:t>
      </w:r>
      <w:r>
        <w:rPr>
          <w:color w:val="000000" w:themeColor="text1"/>
        </w:rPr>
        <w:t>～</w:t>
      </w:r>
      <w:r>
        <w:rPr>
          <w:color w:val="000000" w:themeColor="text1"/>
        </w:rPr>
        <w:t>70%</w:t>
      </w:r>
      <w:r>
        <w:rPr>
          <w:rFonts w:hint="eastAsia"/>
          <w:color w:val="000000" w:themeColor="text1"/>
        </w:rPr>
        <w:t>。</w:t>
      </w:r>
    </w:p>
    <w:p w:rsidR="00273D1E" w:rsidRDefault="00000000">
      <w:pPr>
        <w:pStyle w:val="a6"/>
        <w:numPr>
          <w:ilvl w:val="1"/>
          <w:numId w:val="0"/>
        </w:numPr>
        <w:spacing w:before="312" w:after="312"/>
        <w:rPr>
          <w:rFonts w:hAnsi="黑体" w:cs="黑体" w:hint="eastAsia"/>
          <w:color w:val="000000" w:themeColor="text1"/>
        </w:rPr>
      </w:pPr>
      <w:r>
        <w:rPr>
          <w:rFonts w:hAnsi="黑体" w:cs="黑体" w:hint="eastAsia"/>
          <w:color w:val="000000" w:themeColor="text1"/>
        </w:rPr>
        <w:t>6  工艺控制</w:t>
      </w:r>
    </w:p>
    <w:p w:rsidR="00273D1E" w:rsidRDefault="00000000">
      <w:pPr>
        <w:widowControl/>
        <w:autoSpaceDE w:val="0"/>
        <w:autoSpaceDN w:val="0"/>
        <w:spacing w:beforeLines="50" w:before="156" w:afterLines="50" w:after="156" w:line="360" w:lineRule="auto"/>
        <w:jc w:val="left"/>
        <w:rPr>
          <w:rFonts w:ascii="黑体" w:eastAsia="黑体" w:hAnsi="黑体" w:cs="黑体" w:hint="eastAsia"/>
          <w:color w:val="000000" w:themeColor="text1"/>
          <w:szCs w:val="22"/>
        </w:rPr>
      </w:pPr>
      <w:r>
        <w:rPr>
          <w:rFonts w:ascii="黑体" w:eastAsia="黑体" w:hAnsi="黑体" w:cs="黑体" w:hint="eastAsia"/>
          <w:color w:val="000000" w:themeColor="text1"/>
          <w:szCs w:val="22"/>
        </w:rPr>
        <w:t>6.1  菌剂接种</w:t>
      </w:r>
    </w:p>
    <w:p w:rsidR="00273D1E" w:rsidRDefault="00000000">
      <w:pPr>
        <w:widowControl/>
        <w:autoSpaceDE w:val="0"/>
        <w:autoSpaceDN w:val="0"/>
        <w:spacing w:line="360" w:lineRule="auto"/>
        <w:ind w:firstLineChars="200" w:firstLine="420"/>
        <w:jc w:val="left"/>
        <w:rPr>
          <w:color w:val="000000" w:themeColor="text1"/>
        </w:rPr>
      </w:pPr>
      <w:r>
        <w:rPr>
          <w:rFonts w:hint="eastAsia"/>
          <w:color w:val="000000" w:themeColor="text1"/>
        </w:rPr>
        <w:t>将复合微生物菌剂与堆肥物料按</w:t>
      </w:r>
      <w:r>
        <w:rPr>
          <w:color w:val="000000" w:themeColor="text1"/>
        </w:rPr>
        <w:t>0.1%</w:t>
      </w:r>
      <w:r>
        <w:rPr>
          <w:color w:val="000000" w:themeColor="text1"/>
        </w:rPr>
        <w:t>～</w:t>
      </w:r>
      <w:r>
        <w:rPr>
          <w:color w:val="000000" w:themeColor="text1"/>
        </w:rPr>
        <w:t>0.2%</w:t>
      </w:r>
      <w:r>
        <w:rPr>
          <w:rFonts w:hint="eastAsia"/>
          <w:color w:val="000000" w:themeColor="text1"/>
        </w:rPr>
        <w:t>的比例接种，宜将菌剂活化后再均匀撒入堆肥物料中。接种的复合微生物菌剂应符合</w:t>
      </w:r>
      <w:r>
        <w:rPr>
          <w:color w:val="000000" w:themeColor="text1"/>
        </w:rPr>
        <w:t>GB 20287</w:t>
      </w:r>
      <w:r>
        <w:rPr>
          <w:rFonts w:hint="eastAsia"/>
          <w:color w:val="000000" w:themeColor="text1"/>
        </w:rPr>
        <w:t>的规定。</w:t>
      </w:r>
    </w:p>
    <w:p w:rsidR="00273D1E" w:rsidRDefault="00000000">
      <w:pPr>
        <w:widowControl/>
        <w:autoSpaceDE w:val="0"/>
        <w:autoSpaceDN w:val="0"/>
        <w:spacing w:beforeLines="50" w:before="156" w:afterLines="50" w:after="156" w:line="360" w:lineRule="auto"/>
        <w:jc w:val="left"/>
        <w:rPr>
          <w:rFonts w:ascii="黑体" w:eastAsia="黑体" w:hAnsi="黑体" w:cs="黑体" w:hint="eastAsia"/>
          <w:color w:val="000000" w:themeColor="text1"/>
          <w:szCs w:val="22"/>
        </w:rPr>
      </w:pPr>
      <w:r>
        <w:rPr>
          <w:rFonts w:ascii="黑体" w:eastAsia="黑体" w:hAnsi="黑体" w:cs="黑体" w:hint="eastAsia"/>
          <w:color w:val="000000" w:themeColor="text1"/>
          <w:szCs w:val="22"/>
        </w:rPr>
        <w:t>6.2  进料</w:t>
      </w:r>
    </w:p>
    <w:p w:rsidR="00273D1E" w:rsidRDefault="00000000">
      <w:pPr>
        <w:widowControl/>
        <w:autoSpaceDE w:val="0"/>
        <w:autoSpaceDN w:val="0"/>
        <w:spacing w:line="360" w:lineRule="auto"/>
        <w:ind w:firstLineChars="200" w:firstLine="420"/>
        <w:jc w:val="left"/>
        <w:rPr>
          <w:color w:val="000000" w:themeColor="text1"/>
        </w:rPr>
      </w:pPr>
      <w:r>
        <w:rPr>
          <w:rFonts w:hint="eastAsia"/>
          <w:color w:val="000000" w:themeColor="text1"/>
        </w:rPr>
        <w:t>将接种菌剂后的堆肥物料投入反应器，投入物料量宜为反应器容积的</w:t>
      </w:r>
      <w:r>
        <w:rPr>
          <w:color w:val="000000" w:themeColor="text1"/>
        </w:rPr>
        <w:t>50%</w:t>
      </w:r>
      <w:r>
        <w:rPr>
          <w:color w:val="000000" w:themeColor="text1"/>
        </w:rPr>
        <w:t>～</w:t>
      </w:r>
      <w:r>
        <w:rPr>
          <w:color w:val="000000" w:themeColor="text1"/>
        </w:rPr>
        <w:t>80%</w:t>
      </w:r>
      <w:r>
        <w:rPr>
          <w:rFonts w:hint="eastAsia"/>
          <w:color w:val="000000" w:themeColor="text1"/>
        </w:rPr>
        <w:t>，发酵过程中始终保持反应器上端预留至少</w:t>
      </w:r>
      <w:r>
        <w:rPr>
          <w:color w:val="000000" w:themeColor="text1"/>
        </w:rPr>
        <w:t>20%</w:t>
      </w:r>
      <w:r>
        <w:rPr>
          <w:rFonts w:hint="eastAsia"/>
          <w:color w:val="000000" w:themeColor="text1"/>
        </w:rPr>
        <w:t>的空间用于通气。</w:t>
      </w:r>
    </w:p>
    <w:p w:rsidR="00273D1E" w:rsidRDefault="00000000">
      <w:pPr>
        <w:widowControl/>
        <w:autoSpaceDE w:val="0"/>
        <w:autoSpaceDN w:val="0"/>
        <w:spacing w:beforeLines="50" w:before="156" w:afterLines="50" w:after="156" w:line="360" w:lineRule="auto"/>
        <w:jc w:val="left"/>
        <w:rPr>
          <w:rFonts w:ascii="黑体" w:eastAsia="黑体" w:hAnsi="黑体" w:cs="黑体" w:hint="eastAsia"/>
          <w:color w:val="000000" w:themeColor="text1"/>
          <w:szCs w:val="22"/>
        </w:rPr>
      </w:pPr>
      <w:r>
        <w:rPr>
          <w:rFonts w:ascii="黑体" w:eastAsia="黑体" w:hAnsi="黑体" w:cs="黑体" w:hint="eastAsia"/>
          <w:color w:val="000000" w:themeColor="text1"/>
          <w:szCs w:val="22"/>
        </w:rPr>
        <w:t>6.3  温度</w:t>
      </w:r>
    </w:p>
    <w:p w:rsidR="00273D1E" w:rsidRDefault="00000000">
      <w:pPr>
        <w:pStyle w:val="affe"/>
        <w:spacing w:before="156" w:after="156"/>
        <w:ind w:firstLine="420"/>
      </w:pPr>
      <w:r>
        <w:rPr>
          <w:rFonts w:hint="eastAsia"/>
        </w:rPr>
        <w:t>反应器温度设定在</w:t>
      </w:r>
      <w:r>
        <w:rPr>
          <w:rFonts w:ascii="Times New Roman"/>
        </w:rPr>
        <w:t>45 ℃</w:t>
      </w:r>
      <w:r>
        <w:rPr>
          <w:rFonts w:ascii="Times New Roman"/>
          <w:sz w:val="20"/>
        </w:rPr>
        <w:t>～</w:t>
      </w:r>
      <w:r>
        <w:rPr>
          <w:rFonts w:ascii="Times New Roman"/>
        </w:rPr>
        <w:t>55 ℃</w:t>
      </w:r>
      <w:r>
        <w:rPr>
          <w:rFonts w:hint="eastAsia"/>
        </w:rPr>
        <w:t>。</w:t>
      </w:r>
    </w:p>
    <w:p w:rsidR="00273D1E" w:rsidRDefault="00000000">
      <w:pPr>
        <w:widowControl/>
        <w:autoSpaceDE w:val="0"/>
        <w:autoSpaceDN w:val="0"/>
        <w:spacing w:beforeLines="50" w:before="156" w:afterLines="50" w:after="156" w:line="360" w:lineRule="auto"/>
        <w:jc w:val="left"/>
        <w:rPr>
          <w:rFonts w:ascii="黑体" w:eastAsia="黑体" w:hAnsi="黑体" w:cs="黑体" w:hint="eastAsia"/>
          <w:color w:val="000000" w:themeColor="text1"/>
          <w:szCs w:val="22"/>
        </w:rPr>
      </w:pPr>
      <w:r>
        <w:rPr>
          <w:rFonts w:ascii="黑体" w:eastAsia="黑体" w:hAnsi="黑体" w:cs="黑体" w:hint="eastAsia"/>
          <w:color w:val="000000" w:themeColor="text1"/>
          <w:szCs w:val="22"/>
        </w:rPr>
        <w:t>6.4  氧气含量</w:t>
      </w:r>
    </w:p>
    <w:p w:rsidR="00273D1E" w:rsidRDefault="00000000">
      <w:pPr>
        <w:pStyle w:val="affe"/>
        <w:spacing w:before="156" w:after="156"/>
        <w:ind w:firstLine="420"/>
      </w:pPr>
      <w:r>
        <w:rPr>
          <w:rFonts w:hint="eastAsia"/>
        </w:rPr>
        <w:t>进料后，启动反应器搅拌叶和风机，堆体内氧气含量宜≥</w:t>
      </w:r>
      <w:r>
        <w:rPr>
          <w:rFonts w:ascii="Times New Roman"/>
        </w:rPr>
        <w:t>5%</w:t>
      </w:r>
      <w:r>
        <w:rPr>
          <w:rFonts w:hint="eastAsia"/>
        </w:rPr>
        <w:t>。</w:t>
      </w:r>
    </w:p>
    <w:p w:rsidR="00273D1E" w:rsidRDefault="00000000">
      <w:pPr>
        <w:widowControl/>
        <w:autoSpaceDE w:val="0"/>
        <w:autoSpaceDN w:val="0"/>
        <w:spacing w:beforeLines="50" w:before="156" w:afterLines="50" w:after="156" w:line="360" w:lineRule="auto"/>
        <w:jc w:val="left"/>
        <w:rPr>
          <w:rFonts w:ascii="黑体" w:eastAsia="黑体" w:hAnsi="黑体" w:cs="黑体" w:hint="eastAsia"/>
          <w:color w:val="000000" w:themeColor="text1"/>
          <w:szCs w:val="22"/>
        </w:rPr>
      </w:pPr>
      <w:r>
        <w:rPr>
          <w:rFonts w:ascii="黑体" w:eastAsia="黑体" w:hAnsi="黑体" w:cs="黑体" w:hint="eastAsia"/>
          <w:color w:val="000000" w:themeColor="text1"/>
          <w:szCs w:val="22"/>
        </w:rPr>
        <w:t>6.5  发酵时间</w:t>
      </w:r>
    </w:p>
    <w:p w:rsidR="00273D1E" w:rsidRDefault="00000000">
      <w:pPr>
        <w:pStyle w:val="affe"/>
        <w:spacing w:before="156" w:after="156"/>
        <w:ind w:firstLine="420"/>
      </w:pPr>
      <w:r>
        <w:rPr>
          <w:rFonts w:hint="eastAsia"/>
        </w:rPr>
        <w:t>反应器内发酵</w:t>
      </w:r>
      <w:r>
        <w:rPr>
          <w:rFonts w:ascii="Times New Roman"/>
        </w:rPr>
        <w:t>4 d</w:t>
      </w:r>
      <w:r>
        <w:rPr>
          <w:rFonts w:ascii="Times New Roman"/>
          <w:sz w:val="20"/>
        </w:rPr>
        <w:t>～</w:t>
      </w:r>
      <w:r>
        <w:rPr>
          <w:rFonts w:ascii="Times New Roman"/>
        </w:rPr>
        <w:t>7 d</w:t>
      </w:r>
      <w:r>
        <w:rPr>
          <w:rFonts w:ascii="Times New Roman"/>
        </w:rPr>
        <w:t>，发酵后物料无</w:t>
      </w:r>
      <w:r>
        <w:rPr>
          <w:rFonts w:hint="eastAsia"/>
        </w:rPr>
        <w:t>恶臭，呈疏松状为宜。</w:t>
      </w:r>
    </w:p>
    <w:p w:rsidR="00273D1E" w:rsidRDefault="00000000">
      <w:pPr>
        <w:widowControl/>
        <w:autoSpaceDE w:val="0"/>
        <w:autoSpaceDN w:val="0"/>
        <w:spacing w:beforeLines="50" w:before="156" w:afterLines="50" w:after="156" w:line="360" w:lineRule="auto"/>
        <w:jc w:val="left"/>
        <w:rPr>
          <w:rFonts w:ascii="黑体" w:eastAsia="黑体" w:hAnsi="黑体" w:cs="黑体" w:hint="eastAsia"/>
          <w:color w:val="000000" w:themeColor="text1"/>
          <w:szCs w:val="22"/>
        </w:rPr>
      </w:pPr>
      <w:r>
        <w:rPr>
          <w:rFonts w:ascii="黑体" w:eastAsia="黑体" w:hAnsi="黑体" w:cs="黑体" w:hint="eastAsia"/>
          <w:color w:val="000000" w:themeColor="text1"/>
          <w:szCs w:val="22"/>
        </w:rPr>
        <w:t>6.6  后处理</w:t>
      </w:r>
    </w:p>
    <w:p w:rsidR="00273D1E" w:rsidRDefault="00000000">
      <w:pPr>
        <w:widowControl/>
        <w:autoSpaceDE w:val="0"/>
        <w:autoSpaceDN w:val="0"/>
        <w:spacing w:line="360" w:lineRule="auto"/>
        <w:ind w:firstLineChars="200" w:firstLine="420"/>
        <w:jc w:val="left"/>
        <w:rPr>
          <w:color w:val="000000" w:themeColor="text1"/>
        </w:rPr>
      </w:pPr>
      <w:r>
        <w:rPr>
          <w:rFonts w:hint="eastAsia"/>
          <w:color w:val="000000" w:themeColor="text1"/>
        </w:rPr>
        <w:lastRenderedPageBreak/>
        <w:t>将发酵后物料转运至</w:t>
      </w:r>
      <w:proofErr w:type="gramStart"/>
      <w:r>
        <w:rPr>
          <w:rFonts w:hint="eastAsia"/>
          <w:color w:val="000000" w:themeColor="text1"/>
        </w:rPr>
        <w:t>发</w:t>
      </w:r>
      <w:r>
        <w:rPr>
          <w:color w:val="000000" w:themeColor="text1"/>
        </w:rPr>
        <w:t>酵场</w:t>
      </w:r>
      <w:proofErr w:type="gramEnd"/>
      <w:r>
        <w:rPr>
          <w:color w:val="000000" w:themeColor="text1"/>
        </w:rPr>
        <w:t>进行后处理。堆肥高度宜</w:t>
      </w:r>
      <w:r>
        <w:rPr>
          <w:color w:val="000000" w:themeColor="text1"/>
        </w:rPr>
        <w:t>≤50 cm</w:t>
      </w:r>
      <w:r>
        <w:rPr>
          <w:color w:val="000000" w:themeColor="text1"/>
        </w:rPr>
        <w:t>，每</w:t>
      </w:r>
      <w:r>
        <w:rPr>
          <w:color w:val="000000" w:themeColor="text1"/>
        </w:rPr>
        <w:t>2 d</w:t>
      </w:r>
      <w:r>
        <w:rPr>
          <w:color w:val="000000" w:themeColor="text1"/>
        </w:rPr>
        <w:t>～</w:t>
      </w:r>
      <w:r>
        <w:rPr>
          <w:color w:val="000000" w:themeColor="text1"/>
        </w:rPr>
        <w:t>3 d</w:t>
      </w:r>
      <w:r>
        <w:rPr>
          <w:color w:val="000000" w:themeColor="text1"/>
        </w:rPr>
        <w:t>进行</w:t>
      </w:r>
      <w:r>
        <w:rPr>
          <w:color w:val="000000" w:themeColor="text1"/>
        </w:rPr>
        <w:t>1</w:t>
      </w:r>
      <w:r>
        <w:rPr>
          <w:color w:val="000000" w:themeColor="text1"/>
        </w:rPr>
        <w:t>次翻堆，</w:t>
      </w:r>
      <w:r>
        <w:rPr>
          <w:color w:val="000000" w:themeColor="text1"/>
        </w:rPr>
        <w:t>7 d</w:t>
      </w:r>
      <w:r>
        <w:rPr>
          <w:color w:val="000000" w:themeColor="text1"/>
        </w:rPr>
        <w:t>后，呈茶褐色，有明显的腐</w:t>
      </w:r>
      <w:proofErr w:type="gramStart"/>
      <w:r>
        <w:rPr>
          <w:color w:val="000000" w:themeColor="text1"/>
        </w:rPr>
        <w:t>殖</w:t>
      </w:r>
      <w:proofErr w:type="gramEnd"/>
      <w:r>
        <w:rPr>
          <w:color w:val="000000" w:themeColor="text1"/>
        </w:rPr>
        <w:t>气息即完成腐熟</w:t>
      </w:r>
      <w:r>
        <w:rPr>
          <w:rFonts w:hint="eastAsia"/>
          <w:color w:val="000000" w:themeColor="text1"/>
        </w:rPr>
        <w:t>。</w:t>
      </w:r>
    </w:p>
    <w:p w:rsidR="00273D1E" w:rsidRDefault="00000000">
      <w:pPr>
        <w:pStyle w:val="a6"/>
        <w:numPr>
          <w:ilvl w:val="1"/>
          <w:numId w:val="0"/>
        </w:numPr>
        <w:spacing w:before="312" w:after="312"/>
        <w:rPr>
          <w:rFonts w:hAnsi="黑体" w:cs="黑体" w:hint="eastAsia"/>
          <w:color w:val="000000" w:themeColor="text1"/>
        </w:rPr>
      </w:pPr>
      <w:r>
        <w:rPr>
          <w:rFonts w:hAnsi="黑体" w:cs="黑体" w:hint="eastAsia"/>
          <w:color w:val="000000" w:themeColor="text1"/>
        </w:rPr>
        <w:t>7  堆肥产品</w:t>
      </w:r>
    </w:p>
    <w:p w:rsidR="00273D1E" w:rsidRDefault="00000000">
      <w:pPr>
        <w:widowControl/>
        <w:autoSpaceDE w:val="0"/>
        <w:autoSpaceDN w:val="0"/>
        <w:spacing w:beforeLines="50" w:before="156" w:afterLines="50" w:after="156" w:line="360" w:lineRule="auto"/>
        <w:jc w:val="left"/>
        <w:rPr>
          <w:rFonts w:ascii="黑体" w:eastAsia="黑体" w:hAnsi="黑体" w:cs="黑体" w:hint="eastAsia"/>
          <w:color w:val="000000" w:themeColor="text1"/>
          <w:szCs w:val="22"/>
        </w:rPr>
      </w:pPr>
      <w:r>
        <w:rPr>
          <w:rFonts w:ascii="黑体" w:eastAsia="黑体" w:hAnsi="黑体" w:cs="黑体" w:hint="eastAsia"/>
          <w:color w:val="000000" w:themeColor="text1"/>
          <w:szCs w:val="22"/>
        </w:rPr>
        <w:t>7.1  产品质量</w:t>
      </w:r>
    </w:p>
    <w:p w:rsidR="00273D1E" w:rsidRDefault="00000000">
      <w:pPr>
        <w:widowControl/>
        <w:autoSpaceDE w:val="0"/>
        <w:autoSpaceDN w:val="0"/>
        <w:spacing w:line="360" w:lineRule="auto"/>
        <w:ind w:firstLineChars="200" w:firstLine="420"/>
        <w:jc w:val="left"/>
        <w:rPr>
          <w:color w:val="000000" w:themeColor="text1"/>
        </w:rPr>
      </w:pPr>
      <w:r>
        <w:rPr>
          <w:rFonts w:hint="eastAsia"/>
          <w:color w:val="000000" w:themeColor="text1"/>
        </w:rPr>
        <w:t>发酵后的畜禽粪便如直接还田利用应符</w:t>
      </w:r>
      <w:r>
        <w:rPr>
          <w:color w:val="000000" w:themeColor="text1"/>
        </w:rPr>
        <w:t>合</w:t>
      </w:r>
      <w:r>
        <w:rPr>
          <w:color w:val="000000" w:themeColor="text1"/>
        </w:rPr>
        <w:t>NY/T 3877</w:t>
      </w:r>
      <w:r>
        <w:rPr>
          <w:color w:val="000000" w:themeColor="text1"/>
        </w:rPr>
        <w:t>和</w:t>
      </w:r>
      <w:r>
        <w:rPr>
          <w:color w:val="000000" w:themeColor="text1"/>
        </w:rPr>
        <w:t>GB/T 25246</w:t>
      </w:r>
      <w:r>
        <w:rPr>
          <w:color w:val="000000" w:themeColor="text1"/>
        </w:rPr>
        <w:t>的规定，生产商品化有机肥的应符合</w:t>
      </w:r>
      <w:r>
        <w:rPr>
          <w:color w:val="000000" w:themeColor="text1"/>
        </w:rPr>
        <w:t>NY/T 525</w:t>
      </w:r>
      <w:r>
        <w:rPr>
          <w:color w:val="000000" w:themeColor="text1"/>
        </w:rPr>
        <w:t>的</w:t>
      </w:r>
      <w:r>
        <w:rPr>
          <w:rFonts w:hint="eastAsia"/>
          <w:color w:val="000000" w:themeColor="text1"/>
        </w:rPr>
        <w:t>规定。</w:t>
      </w:r>
    </w:p>
    <w:p w:rsidR="00273D1E" w:rsidRDefault="00000000">
      <w:pPr>
        <w:widowControl/>
        <w:autoSpaceDE w:val="0"/>
        <w:autoSpaceDN w:val="0"/>
        <w:spacing w:beforeLines="50" w:before="156" w:afterLines="50" w:after="156" w:line="360" w:lineRule="auto"/>
        <w:jc w:val="left"/>
        <w:rPr>
          <w:rFonts w:ascii="黑体" w:eastAsia="黑体" w:hAnsi="黑体" w:cs="黑体" w:hint="eastAsia"/>
          <w:color w:val="000000" w:themeColor="text1"/>
          <w:szCs w:val="22"/>
        </w:rPr>
      </w:pPr>
      <w:r>
        <w:rPr>
          <w:rFonts w:ascii="黑体" w:eastAsia="黑体" w:hAnsi="黑体" w:cs="黑体" w:hint="eastAsia"/>
          <w:color w:val="000000" w:themeColor="text1"/>
          <w:szCs w:val="22"/>
        </w:rPr>
        <w:t>7.2  检测指标及方法</w:t>
      </w:r>
    </w:p>
    <w:p w:rsidR="00273D1E" w:rsidRDefault="00000000">
      <w:pPr>
        <w:widowControl/>
        <w:autoSpaceDE w:val="0"/>
        <w:autoSpaceDN w:val="0"/>
        <w:spacing w:line="360" w:lineRule="auto"/>
        <w:ind w:firstLineChars="200" w:firstLine="420"/>
        <w:jc w:val="left"/>
        <w:rPr>
          <w:color w:val="000000" w:themeColor="text1"/>
        </w:rPr>
      </w:pPr>
      <w:r>
        <w:rPr>
          <w:rFonts w:hint="eastAsia"/>
          <w:color w:val="000000" w:themeColor="text1"/>
        </w:rPr>
        <w:t>有机质、含水率的测定，按</w:t>
      </w:r>
      <w:r>
        <w:rPr>
          <w:color w:val="000000" w:themeColor="text1"/>
        </w:rPr>
        <w:t>NY/T 3442</w:t>
      </w:r>
      <w:r>
        <w:rPr>
          <w:color w:val="000000" w:themeColor="text1"/>
        </w:rPr>
        <w:t>规定执行。粪大肠菌群数、蛔虫</w:t>
      </w:r>
      <w:proofErr w:type="gramStart"/>
      <w:r>
        <w:rPr>
          <w:color w:val="000000" w:themeColor="text1"/>
        </w:rPr>
        <w:t>卵</w:t>
      </w:r>
      <w:proofErr w:type="gramEnd"/>
      <w:r>
        <w:rPr>
          <w:color w:val="000000" w:themeColor="text1"/>
        </w:rPr>
        <w:t>死亡率的测定，按</w:t>
      </w:r>
      <w:r>
        <w:rPr>
          <w:color w:val="000000" w:themeColor="text1"/>
        </w:rPr>
        <w:t>GB/T 19524.1</w:t>
      </w:r>
      <w:r>
        <w:rPr>
          <w:color w:val="000000" w:themeColor="text1"/>
        </w:rPr>
        <w:t>和</w:t>
      </w:r>
      <w:r>
        <w:rPr>
          <w:color w:val="000000" w:themeColor="text1"/>
        </w:rPr>
        <w:t>GB/T 19524.2</w:t>
      </w:r>
      <w:r>
        <w:rPr>
          <w:color w:val="000000" w:themeColor="text1"/>
        </w:rPr>
        <w:t>规定执行。重金属含量的测定，按</w:t>
      </w:r>
      <w:r>
        <w:rPr>
          <w:color w:val="000000" w:themeColor="text1"/>
        </w:rPr>
        <w:t>GB/T 23349</w:t>
      </w:r>
      <w:r>
        <w:rPr>
          <w:color w:val="000000" w:themeColor="text1"/>
        </w:rPr>
        <w:t>规定</w:t>
      </w:r>
      <w:r>
        <w:rPr>
          <w:rFonts w:hint="eastAsia"/>
          <w:color w:val="000000" w:themeColor="text1"/>
        </w:rPr>
        <w:t>执行。</w:t>
      </w:r>
    </w:p>
    <w:p w:rsidR="00273D1E" w:rsidRDefault="00000000">
      <w:pPr>
        <w:widowControl/>
        <w:autoSpaceDE w:val="0"/>
        <w:autoSpaceDN w:val="0"/>
        <w:spacing w:beforeLines="50" w:before="156" w:afterLines="50" w:after="156" w:line="360" w:lineRule="auto"/>
        <w:jc w:val="left"/>
        <w:rPr>
          <w:rFonts w:ascii="黑体" w:eastAsia="黑体" w:hAnsi="黑体" w:cs="黑体" w:hint="eastAsia"/>
          <w:color w:val="000000" w:themeColor="text1"/>
          <w:szCs w:val="22"/>
        </w:rPr>
      </w:pPr>
      <w:r>
        <w:rPr>
          <w:rFonts w:ascii="黑体" w:eastAsia="黑体" w:hAnsi="黑体" w:cs="黑体" w:hint="eastAsia"/>
          <w:color w:val="000000" w:themeColor="text1"/>
          <w:szCs w:val="22"/>
        </w:rPr>
        <w:t>7.3  贮存</w:t>
      </w:r>
    </w:p>
    <w:p w:rsidR="00273D1E" w:rsidRDefault="00000000">
      <w:pPr>
        <w:widowControl/>
        <w:autoSpaceDE w:val="0"/>
        <w:autoSpaceDN w:val="0"/>
        <w:spacing w:line="360" w:lineRule="auto"/>
        <w:ind w:firstLineChars="200" w:firstLine="420"/>
        <w:jc w:val="left"/>
        <w:rPr>
          <w:color w:val="000000" w:themeColor="text1"/>
        </w:rPr>
      </w:pPr>
      <w:r>
        <w:rPr>
          <w:rFonts w:hint="eastAsia"/>
          <w:color w:val="000000" w:themeColor="text1"/>
        </w:rPr>
        <w:t>应贮存于干燥、通风处，贮存设施应有防雨、防潮功能。</w:t>
      </w:r>
    </w:p>
    <w:p w:rsidR="00273D1E" w:rsidRDefault="00000000">
      <w:pPr>
        <w:pStyle w:val="a6"/>
        <w:numPr>
          <w:ilvl w:val="1"/>
          <w:numId w:val="0"/>
        </w:numPr>
        <w:spacing w:before="312" w:after="312"/>
        <w:rPr>
          <w:rFonts w:hAnsi="黑体" w:cs="黑体" w:hint="eastAsia"/>
          <w:color w:val="000000" w:themeColor="text1"/>
        </w:rPr>
      </w:pPr>
      <w:r>
        <w:rPr>
          <w:rFonts w:hAnsi="黑体" w:cs="黑体" w:hint="eastAsia"/>
          <w:color w:val="000000" w:themeColor="text1"/>
        </w:rPr>
        <w:t>8  环境保护与安全</w:t>
      </w:r>
    </w:p>
    <w:p w:rsidR="00273D1E" w:rsidRDefault="00000000">
      <w:pPr>
        <w:widowControl/>
        <w:autoSpaceDE w:val="0"/>
        <w:autoSpaceDN w:val="0"/>
        <w:spacing w:beforeLines="50" w:before="156" w:afterLines="50" w:after="156" w:line="360" w:lineRule="auto"/>
        <w:jc w:val="left"/>
        <w:rPr>
          <w:rFonts w:ascii="黑体" w:eastAsia="黑体" w:hAnsi="黑体" w:cs="黑体" w:hint="eastAsia"/>
          <w:color w:val="000000" w:themeColor="text1"/>
          <w:szCs w:val="22"/>
        </w:rPr>
      </w:pPr>
      <w:r>
        <w:rPr>
          <w:rFonts w:ascii="黑体" w:eastAsia="黑体" w:hAnsi="黑体" w:cs="黑体" w:hint="eastAsia"/>
          <w:color w:val="000000" w:themeColor="text1"/>
          <w:szCs w:val="22"/>
        </w:rPr>
        <w:t>8.1  臭气及渗沥液处理</w:t>
      </w:r>
    </w:p>
    <w:p w:rsidR="00273D1E" w:rsidRDefault="00000000">
      <w:pPr>
        <w:pStyle w:val="affe"/>
        <w:spacing w:before="156" w:after="156"/>
        <w:ind w:firstLineChars="0" w:firstLine="0"/>
      </w:pPr>
      <w:r>
        <w:rPr>
          <w:rFonts w:ascii="黑体" w:eastAsia="黑体" w:hAnsi="黑体" w:cs="黑体" w:hint="eastAsia"/>
        </w:rPr>
        <w:t xml:space="preserve">8.1.1 </w:t>
      </w:r>
      <w:r>
        <w:rPr>
          <w:rFonts w:hint="eastAsia"/>
        </w:rPr>
        <w:t xml:space="preserve"> </w:t>
      </w:r>
      <w:r>
        <w:rPr>
          <w:rFonts w:ascii="Times New Roman" w:hint="eastAsia"/>
          <w:color w:val="000000" w:themeColor="text1"/>
          <w:kern w:val="2"/>
          <w:szCs w:val="24"/>
        </w:rPr>
        <w:t>场界恶臭污染</w:t>
      </w:r>
      <w:r>
        <w:rPr>
          <w:rFonts w:ascii="Times New Roman"/>
          <w:color w:val="000000" w:themeColor="text1"/>
          <w:kern w:val="2"/>
          <w:szCs w:val="24"/>
        </w:rPr>
        <w:t>物允许浓度应符合</w:t>
      </w:r>
      <w:r>
        <w:rPr>
          <w:rFonts w:ascii="Times New Roman"/>
          <w:color w:val="000000" w:themeColor="text1"/>
          <w:kern w:val="2"/>
          <w:szCs w:val="24"/>
        </w:rPr>
        <w:t>GB 18596</w:t>
      </w:r>
      <w:r>
        <w:rPr>
          <w:rFonts w:ascii="Times New Roman"/>
          <w:color w:val="000000" w:themeColor="text1"/>
          <w:kern w:val="2"/>
          <w:szCs w:val="24"/>
        </w:rPr>
        <w:t>的规定，并</w:t>
      </w:r>
      <w:r>
        <w:rPr>
          <w:rFonts w:ascii="Times New Roman" w:hint="eastAsia"/>
          <w:color w:val="000000" w:themeColor="text1"/>
          <w:kern w:val="2"/>
          <w:szCs w:val="24"/>
        </w:rPr>
        <w:t>采取必要的灭蝇措施。</w:t>
      </w:r>
    </w:p>
    <w:p w:rsidR="00273D1E" w:rsidRDefault="00000000">
      <w:pPr>
        <w:widowControl/>
        <w:autoSpaceDE w:val="0"/>
        <w:autoSpaceDN w:val="0"/>
        <w:spacing w:line="360" w:lineRule="auto"/>
        <w:jc w:val="left"/>
        <w:rPr>
          <w:color w:val="000000" w:themeColor="text1"/>
        </w:rPr>
      </w:pPr>
      <w:r>
        <w:rPr>
          <w:rFonts w:ascii="黑体" w:eastAsia="黑体" w:hAnsi="黑体" w:hint="eastAsia"/>
          <w:color w:val="000000" w:themeColor="text1"/>
        </w:rPr>
        <w:t>8.1.2</w:t>
      </w:r>
      <w:r>
        <w:rPr>
          <w:rFonts w:hint="eastAsia"/>
          <w:color w:val="000000" w:themeColor="text1"/>
        </w:rPr>
        <w:t xml:space="preserve">  </w:t>
      </w:r>
      <w:r>
        <w:rPr>
          <w:rFonts w:hint="eastAsia"/>
          <w:color w:val="000000" w:themeColor="text1"/>
        </w:rPr>
        <w:t>堆肥工程须有独立的渗沥液收集设施，渗沥液收集后，可作为堆肥原料的水分调节，剩余渗液通过场区内污水处理设施处理，污水排放标准应</w:t>
      </w:r>
      <w:r>
        <w:rPr>
          <w:color w:val="000000" w:themeColor="text1"/>
        </w:rPr>
        <w:t>符合</w:t>
      </w:r>
      <w:r>
        <w:rPr>
          <w:color w:val="000000" w:themeColor="text1"/>
        </w:rPr>
        <w:t>NY/T 1168</w:t>
      </w:r>
      <w:r>
        <w:rPr>
          <w:rFonts w:hint="eastAsia"/>
          <w:color w:val="000000" w:themeColor="text1"/>
        </w:rPr>
        <w:t>规定。</w:t>
      </w:r>
    </w:p>
    <w:p w:rsidR="00273D1E" w:rsidRDefault="00000000">
      <w:pPr>
        <w:widowControl/>
        <w:autoSpaceDE w:val="0"/>
        <w:autoSpaceDN w:val="0"/>
        <w:spacing w:beforeLines="50" w:before="156" w:afterLines="50" w:after="156" w:line="360" w:lineRule="auto"/>
        <w:jc w:val="left"/>
        <w:rPr>
          <w:rFonts w:ascii="黑体" w:eastAsia="黑体" w:hAnsi="黑体" w:cs="黑体" w:hint="eastAsia"/>
          <w:color w:val="000000" w:themeColor="text1"/>
          <w:szCs w:val="22"/>
        </w:rPr>
      </w:pPr>
      <w:r>
        <w:rPr>
          <w:rFonts w:ascii="黑体" w:eastAsia="黑体" w:hAnsi="黑体" w:cs="黑体" w:hint="eastAsia"/>
          <w:color w:val="000000" w:themeColor="text1"/>
          <w:szCs w:val="22"/>
        </w:rPr>
        <w:t>8.2  安全管理</w:t>
      </w:r>
    </w:p>
    <w:p w:rsidR="00273D1E" w:rsidRDefault="00000000">
      <w:pPr>
        <w:pStyle w:val="a7"/>
        <w:numPr>
          <w:ilvl w:val="2"/>
          <w:numId w:val="0"/>
        </w:numPr>
        <w:spacing w:before="156" w:after="156"/>
      </w:pPr>
      <w:r>
        <w:rPr>
          <w:rFonts w:hint="eastAsia"/>
        </w:rPr>
        <w:t>8.2.1  人员管理</w:t>
      </w:r>
    </w:p>
    <w:p w:rsidR="00273D1E" w:rsidRDefault="00000000">
      <w:pPr>
        <w:widowControl/>
        <w:autoSpaceDE w:val="0"/>
        <w:autoSpaceDN w:val="0"/>
        <w:spacing w:line="360" w:lineRule="auto"/>
        <w:ind w:firstLineChars="200" w:firstLine="420"/>
        <w:jc w:val="left"/>
        <w:rPr>
          <w:color w:val="000000" w:themeColor="text1"/>
        </w:rPr>
      </w:pPr>
      <w:r>
        <w:rPr>
          <w:rFonts w:hint="eastAsia"/>
          <w:color w:val="000000" w:themeColor="text1"/>
        </w:rPr>
        <w:t>应建立安全培训制度，对管理人员和操作人员进行岗前培训，使其熟练掌握岗位技术要点、设备操作要求等。</w:t>
      </w:r>
    </w:p>
    <w:p w:rsidR="00273D1E" w:rsidRDefault="00000000">
      <w:pPr>
        <w:pStyle w:val="a7"/>
        <w:numPr>
          <w:ilvl w:val="2"/>
          <w:numId w:val="0"/>
        </w:numPr>
        <w:spacing w:before="156" w:after="156"/>
      </w:pPr>
      <w:r>
        <w:rPr>
          <w:rFonts w:hint="eastAsia"/>
        </w:rPr>
        <w:t>8.2.2  安全生产管理</w:t>
      </w:r>
    </w:p>
    <w:p w:rsidR="00273D1E" w:rsidRDefault="00000000">
      <w:pPr>
        <w:widowControl/>
        <w:autoSpaceDE w:val="0"/>
        <w:autoSpaceDN w:val="0"/>
        <w:spacing w:line="360" w:lineRule="auto"/>
        <w:jc w:val="left"/>
        <w:rPr>
          <w:color w:val="000000" w:themeColor="text1"/>
        </w:rPr>
      </w:pPr>
      <w:r>
        <w:rPr>
          <w:rFonts w:ascii="黑体" w:eastAsia="黑体" w:hAnsi="黑体" w:hint="eastAsia"/>
          <w:color w:val="000000" w:themeColor="text1"/>
        </w:rPr>
        <w:t xml:space="preserve">8.2.2.1  </w:t>
      </w:r>
      <w:r>
        <w:rPr>
          <w:rFonts w:hint="eastAsia"/>
          <w:color w:val="000000" w:themeColor="text1"/>
        </w:rPr>
        <w:t>机械设备中外露的驱动、传动、辊筒等部件的运动链应配有防护罩，并在操作者可能接触到的地方安装接触预防装置。</w:t>
      </w:r>
    </w:p>
    <w:p w:rsidR="00273D1E" w:rsidRDefault="00000000">
      <w:pPr>
        <w:widowControl/>
        <w:autoSpaceDE w:val="0"/>
        <w:autoSpaceDN w:val="0"/>
        <w:spacing w:line="360" w:lineRule="auto"/>
        <w:jc w:val="left"/>
        <w:rPr>
          <w:color w:val="000000" w:themeColor="text1"/>
        </w:rPr>
      </w:pPr>
      <w:r>
        <w:rPr>
          <w:rFonts w:ascii="黑体" w:eastAsia="黑体" w:hAnsi="黑体" w:hint="eastAsia"/>
          <w:color w:val="000000" w:themeColor="text1"/>
        </w:rPr>
        <w:lastRenderedPageBreak/>
        <w:t xml:space="preserve">8.2.2.2  </w:t>
      </w:r>
      <w:r>
        <w:rPr>
          <w:rFonts w:hint="eastAsia"/>
          <w:color w:val="000000" w:themeColor="text1"/>
        </w:rPr>
        <w:t>不应将农药、刚消毒的粪污、畜禽尸体、骨粉等物质投入堆肥利用设施。</w:t>
      </w:r>
    </w:p>
    <w:p w:rsidR="00273D1E" w:rsidRDefault="00000000">
      <w:pPr>
        <w:widowControl/>
        <w:autoSpaceDE w:val="0"/>
        <w:autoSpaceDN w:val="0"/>
        <w:spacing w:line="360" w:lineRule="auto"/>
        <w:jc w:val="left"/>
        <w:rPr>
          <w:color w:val="000000" w:themeColor="text1"/>
        </w:rPr>
      </w:pPr>
      <w:r>
        <w:rPr>
          <w:rFonts w:ascii="黑体" w:eastAsia="黑体" w:hAnsi="黑体" w:hint="eastAsia"/>
          <w:color w:val="000000" w:themeColor="text1"/>
        </w:rPr>
        <w:t xml:space="preserve">8.2.2.3  </w:t>
      </w:r>
      <w:r>
        <w:rPr>
          <w:rFonts w:hint="eastAsia"/>
          <w:color w:val="000000" w:themeColor="text1"/>
        </w:rPr>
        <w:t>应为操作人员提供劳动安全卫生条件和劳动防护用品，岗位操作人员应按规定使用安全防护及劳保用品。</w:t>
      </w:r>
    </w:p>
    <w:p w:rsidR="00273D1E" w:rsidRDefault="00000000">
      <w:pPr>
        <w:widowControl/>
        <w:autoSpaceDE w:val="0"/>
        <w:autoSpaceDN w:val="0"/>
        <w:spacing w:line="360" w:lineRule="auto"/>
        <w:jc w:val="left"/>
        <w:rPr>
          <w:color w:val="000000" w:themeColor="text1"/>
        </w:rPr>
      </w:pPr>
      <w:r>
        <w:rPr>
          <w:rFonts w:ascii="黑体" w:eastAsia="黑体" w:hAnsi="黑体" w:hint="eastAsia"/>
          <w:color w:val="000000" w:themeColor="text1"/>
        </w:rPr>
        <w:t xml:space="preserve">8.2.2.4  </w:t>
      </w:r>
      <w:r>
        <w:rPr>
          <w:rFonts w:hint="eastAsia"/>
          <w:color w:val="000000" w:themeColor="text1"/>
        </w:rPr>
        <w:t>应建立健全安全生产岗位责任制，制定安全生产管理制度、安全生产应急预案等，及时排查安全隐患。</w:t>
      </w:r>
    </w:p>
    <w:p w:rsidR="00273D1E" w:rsidRDefault="00000000">
      <w:pPr>
        <w:pStyle w:val="a6"/>
        <w:numPr>
          <w:ilvl w:val="1"/>
          <w:numId w:val="0"/>
        </w:numPr>
        <w:spacing w:before="312" w:after="312"/>
        <w:rPr>
          <w:rFonts w:hAnsi="黑体" w:cs="黑体" w:hint="eastAsia"/>
          <w:color w:val="000000" w:themeColor="text1"/>
        </w:rPr>
      </w:pPr>
      <w:r>
        <w:rPr>
          <w:rFonts w:hAnsi="黑体" w:cs="黑体" w:hint="eastAsia"/>
          <w:color w:val="000000" w:themeColor="text1"/>
        </w:rPr>
        <w:t>9  档案管理</w:t>
      </w:r>
    </w:p>
    <w:p w:rsidR="00273D1E" w:rsidRDefault="00000000">
      <w:pPr>
        <w:pStyle w:val="affe"/>
        <w:spacing w:before="156" w:after="156"/>
        <w:ind w:firstLine="420"/>
      </w:pPr>
      <w:r>
        <w:rPr>
          <w:rFonts w:hint="eastAsia"/>
        </w:rPr>
        <w:t>应建立畜禽粪便好氧</w:t>
      </w:r>
      <w:proofErr w:type="gramStart"/>
      <w:r>
        <w:rPr>
          <w:rFonts w:hint="eastAsia"/>
        </w:rPr>
        <w:t>堆肥台</w:t>
      </w:r>
      <w:proofErr w:type="gramEnd"/>
      <w:r>
        <w:rPr>
          <w:rFonts w:hint="eastAsia"/>
        </w:rPr>
        <w:t>账，</w:t>
      </w:r>
      <w:proofErr w:type="gramStart"/>
      <w:r>
        <w:rPr>
          <w:rFonts w:hint="eastAsia"/>
        </w:rPr>
        <w:t>台账应妥善</w:t>
      </w:r>
      <w:proofErr w:type="gramEnd"/>
      <w:r>
        <w:rPr>
          <w:rFonts w:hint="eastAsia"/>
        </w:rPr>
        <w:t>保管</w:t>
      </w:r>
      <w:r>
        <w:rPr>
          <w:rFonts w:ascii="Times New Roman"/>
        </w:rPr>
        <w:t>2</w:t>
      </w:r>
      <w:r>
        <w:rPr>
          <w:rFonts w:ascii="Times New Roman"/>
        </w:rPr>
        <w:t>年</w:t>
      </w:r>
      <w:r>
        <w:rPr>
          <w:rFonts w:hint="eastAsia"/>
        </w:rPr>
        <w:t>以上。</w:t>
      </w:r>
      <w:bookmarkStart w:id="9" w:name="BookMark8"/>
    </w:p>
    <w:p w:rsidR="00273D1E" w:rsidRDefault="00000000">
      <w:pPr>
        <w:pStyle w:val="affe"/>
        <w:spacing w:before="156" w:after="156"/>
        <w:ind w:firstLineChars="0" w:firstLine="420"/>
        <w:jc w:val="center"/>
      </w:pPr>
      <w:r>
        <w:rPr>
          <w:noProof/>
        </w:rPr>
        <w:drawing>
          <wp:inline distT="0" distB="0" distL="0" distR="0">
            <wp:extent cx="1485900" cy="374650"/>
            <wp:effectExtent l="0" t="0" r="0" b="6350"/>
            <wp:docPr id="126620147" name="图片 126620147"/>
            <wp:cNvGraphicFramePr/>
            <a:graphic xmlns:a="http://schemas.openxmlformats.org/drawingml/2006/main">
              <a:graphicData uri="http://schemas.openxmlformats.org/drawingml/2006/picture">
                <pic:pic xmlns:pic="http://schemas.openxmlformats.org/drawingml/2006/picture">
                  <pic:nvPicPr>
                    <pic:cNvPr id="126620147" name="图片 126620147"/>
                    <pic:cNvPicPr/>
                  </pic:nvPicPr>
                  <pic:blipFill>
                    <a:blip r:embed="rId14">
                      <a:extLst>
                        <a:ext uri="{28A0092B-C50C-407E-A947-70E740481C1C}">
                          <a14:useLocalDpi xmlns:a14="http://schemas.microsoft.com/office/drawing/2010/main" val="0"/>
                        </a:ext>
                      </a:extLst>
                    </a:blip>
                    <a:stretch>
                      <a:fillRect/>
                    </a:stretch>
                  </pic:blipFill>
                  <pic:spPr>
                    <a:xfrm>
                      <a:off x="0" y="0"/>
                      <a:ext cx="1485900" cy="374650"/>
                    </a:xfrm>
                    <a:prstGeom prst="rect">
                      <a:avLst/>
                    </a:prstGeom>
                  </pic:spPr>
                </pic:pic>
              </a:graphicData>
            </a:graphic>
          </wp:inline>
        </w:drawing>
      </w:r>
      <w:bookmarkEnd w:id="9"/>
    </w:p>
    <w:p w:rsidR="00273D1E" w:rsidRDefault="00273D1E">
      <w:pPr>
        <w:adjustRightInd w:val="0"/>
        <w:snapToGrid w:val="0"/>
        <w:spacing w:line="360" w:lineRule="auto"/>
        <w:rPr>
          <w:rFonts w:eastAsia="黑体"/>
          <w:color w:val="000000" w:themeColor="text1"/>
        </w:rPr>
      </w:pPr>
    </w:p>
    <w:sectPr w:rsidR="00273D1E">
      <w:headerReference w:type="default" r:id="rId15"/>
      <w:footerReference w:type="default" r:id="rId16"/>
      <w:pgSz w:w="11906" w:h="16838"/>
      <w:pgMar w:top="567" w:right="1134" w:bottom="1134" w:left="1418" w:header="1418" w:footer="1134" w:gutter="0"/>
      <w:pgNumType w:start="1"/>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755E4A" w:rsidRDefault="00755E4A">
      <w:r>
        <w:separator/>
      </w:r>
    </w:p>
  </w:endnote>
  <w:endnote w:type="continuationSeparator" w:id="0">
    <w:p w:rsidR="00755E4A" w:rsidRDefault="00755E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auto"/>
    <w:pitch w:val="variable"/>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273D1E" w:rsidRDefault="00000000">
    <w:pPr>
      <w:pStyle w:val="affc"/>
    </w:pPr>
    <w:r>
      <w:rPr>
        <w:noProof/>
      </w:rPr>
      <mc:AlternateContent>
        <mc:Choice Requires="wps">
          <w:drawing>
            <wp:anchor distT="0" distB="0" distL="114300" distR="114300" simplePos="0" relativeHeight="251662336" behindDoc="0" locked="0" layoutInCell="1" allowOverlap="1">
              <wp:simplePos x="0" y="0"/>
              <wp:positionH relativeFrom="margin">
                <wp:posOffset>5836920</wp:posOffset>
              </wp:positionH>
              <wp:positionV relativeFrom="paragraph">
                <wp:posOffset>18415</wp:posOffset>
              </wp:positionV>
              <wp:extent cx="114935" cy="131445"/>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14935" cy="131445"/>
                      </a:xfrm>
                      <a:prstGeom prst="rect">
                        <a:avLst/>
                      </a:prstGeom>
                      <a:noFill/>
                      <a:ln w="6350">
                        <a:noFill/>
                      </a:ln>
                      <a:effectLst/>
                    </wps:spPr>
                    <wps:txbx>
                      <w:txbxContent>
                        <w:p w:rsidR="00273D1E" w:rsidRDefault="00273D1E"/>
                      </w:txbxContent>
                    </wps:txbx>
                    <wps:bodyPr wrap="none" lIns="0" tIns="0" rIns="0" bIns="0" upright="1">
                      <a:spAutoFit/>
                    </wps:bodyPr>
                  </wps:wsp>
                </a:graphicData>
              </a:graphic>
            </wp:anchor>
          </w:drawing>
        </mc:Choice>
        <mc:Fallback xmlns:wpsCustomData="http://www.wps.cn/officeDocument/2013/wpsCustomData">
          <w:pict>
            <v:shape id="_x0000_s1026" o:spid="_x0000_s1026" o:spt="202" type="#_x0000_t202" style="position:absolute;left:0pt;margin-left:459.6pt;margin-top:1.45pt;height:10.35pt;width:9.05pt;mso-position-horizontal-relative:margin;mso-wrap-style:none;z-index:251662336;mso-width-relative:page;mso-height-relative:page;" filled="f" stroked="f" coordsize="21600,21600" o:gfxdata="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AIcEadUAAAAIAQAADwAAAAAA&#10;AAABACAAAAAiAAAAZHJzL2Rvd25yZXYueG1sUEsBAhQAFAAAAAgAh07iQDvaHtDdAQAAsAMAAA4A&#10;AAAAAAAAAQAgAAAAJAEAAGRycy9lMm9Eb2MueG1sUEsFBgAAAAAGAAYAWQEAAHMFAAAAAA==&#10;">
              <v:fill on="f" focussize="0,0"/>
              <v:stroke on="f" weight="0.5pt"/>
              <v:imagedata o:title=""/>
              <o:lock v:ext="edit" aspectratio="f"/>
              <v:textbox inset="0mm,0mm,0mm,0mm" style="mso-fit-shape-to-text:t;">
                <w:txbxContent>
                  <w:p w14:paraId="790E6A8A"/>
                </w:txbxContent>
              </v:textbox>
            </v:shape>
          </w:pict>
        </mc:Fallback>
      </mc:AlternateContent>
    </w:r>
    <w:r>
      <w:rPr>
        <w:noProof/>
      </w:rPr>
      <mc:AlternateContent>
        <mc:Choice Requires="wps">
          <w:drawing>
            <wp:anchor distT="0" distB="0" distL="114300" distR="114300" simplePos="0" relativeHeight="251663360" behindDoc="0" locked="0" layoutInCell="1" allowOverlap="1">
              <wp:simplePos x="0" y="0"/>
              <wp:positionH relativeFrom="margin">
                <wp:align>right</wp:align>
              </wp:positionH>
              <wp:positionV relativeFrom="paragraph">
                <wp:posOffset>0</wp:posOffset>
              </wp:positionV>
              <wp:extent cx="76200" cy="131445"/>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76200" cy="131445"/>
                      </a:xfrm>
                      <a:prstGeom prst="rect">
                        <a:avLst/>
                      </a:prstGeom>
                      <a:noFill/>
                      <a:ln w="6350">
                        <a:noFill/>
                      </a:ln>
                      <a:effectLst/>
                    </wps:spPr>
                    <wps:txbx>
                      <w:txbxContent>
                        <w:p w:rsidR="00273D1E" w:rsidRDefault="00000000">
                          <w:pPr>
                            <w:pStyle w:val="af2"/>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_x0000_s1026" o:spid="_x0000_s1026" o:spt="202" type="#_x0000_t202" style="position:absolute;left:0pt;margin-top:0pt;height:10.35pt;width:6pt;mso-position-horizontal:right;mso-position-horizontal-relative:margin;mso-wrap-style:none;z-index:251663360;mso-width-relative:page;mso-height-relative:page;" filled="f" stroked="f" coordsize="21600,21600" o:gfxdata="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21SkV0AAAAAMBAAAPAAAAAAAAAAEAIAAAACIAAABkcnMvZG93bnJldi54bWxQSwEC&#10;FAAUAAAACACHTuJAHCTMuzUCAABiBAAADgAAAAAAAAABACAAAAAfAQAAZHJzL2Uyb0RvYy54bWxQ&#10;SwUGAAAAAAYABgBZAQAAxgUAAAAA&#10;">
              <v:fill on="f" focussize="0,0"/>
              <v:stroke on="f" weight="0.5pt"/>
              <v:imagedata o:title=""/>
              <o:lock v:ext="edit" aspectratio="f"/>
              <v:textbox inset="0mm,0mm,0mm,0mm" style="mso-fit-shape-to-text:t;">
                <w:txbxContent>
                  <w:p w14:paraId="3AF6F96C">
                    <w:pPr>
                      <w:pStyle w:val="3"/>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273D1E" w:rsidRDefault="00000000">
    <w:pPr>
      <w:pStyle w:val="affc"/>
    </w:pPr>
    <w:r>
      <w:rPr>
        <w:noProof/>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3515" cy="224155"/>
              <wp:effectExtent l="0" t="0" r="0" b="0"/>
              <wp:wrapNone/>
              <wp:docPr id="2" name="文本框 1"/>
              <wp:cNvGraphicFramePr/>
              <a:graphic xmlns:a="http://schemas.openxmlformats.org/drawingml/2006/main">
                <a:graphicData uri="http://schemas.microsoft.com/office/word/2010/wordprocessingShape">
                  <wps:wsp>
                    <wps:cNvSpPr txBox="1"/>
                    <wps:spPr>
                      <a:xfrm>
                        <a:off x="0" y="0"/>
                        <a:ext cx="183515" cy="224155"/>
                      </a:xfrm>
                      <a:prstGeom prst="rect">
                        <a:avLst/>
                      </a:prstGeom>
                      <a:noFill/>
                      <a:ln>
                        <a:noFill/>
                      </a:ln>
                      <a:effectLst/>
                    </wps:spPr>
                    <wps:txbx>
                      <w:txbxContent>
                        <w:p w:rsidR="00273D1E" w:rsidRDefault="00000000">
                          <w:pPr>
                            <w:pStyle w:val="affc"/>
                          </w:pPr>
                          <w:r>
                            <w:fldChar w:fldCharType="begin"/>
                          </w:r>
                          <w:r>
                            <w:instrText xml:space="preserve"> PAGE  \* MERGEFORMAT </w:instrText>
                          </w:r>
                          <w:r>
                            <w:fldChar w:fldCharType="separate"/>
                          </w:r>
                          <w:r>
                            <w:t>6</w:t>
                          </w:r>
                          <w:r>
                            <w:fldChar w:fldCharType="end"/>
                          </w:r>
                        </w:p>
                      </w:txbxContent>
                    </wps:txbx>
                    <wps:bodyPr wrap="none" lIns="0" tIns="0" rIns="0" bIns="0" anchor="t" anchorCtr="0" upright="1">
                      <a:spAutoFit/>
                    </wps:bodyPr>
                  </wps:wsp>
                </a:graphicData>
              </a:graphic>
            </wp:anchor>
          </w:drawing>
        </mc:Choice>
        <mc:Fallback xmlns:wpsCustomData="http://www.wps.cn/officeDocument/2013/wpsCustomData">
          <w:pict>
            <v:shape id="文本框 1" o:spid="_x0000_s1026" o:spt="202" type="#_x0000_t202" style="position:absolute;left:0pt;margin-top:0pt;height:17.65pt;width:14.45pt;mso-position-horizontal:outside;mso-position-horizontal-relative:margin;mso-wrap-style:none;z-index:251659264;mso-width-relative:page;mso-height-relative:page;" filled="f" stroked="f" coordsize="21600,21600" o:gfxdata="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GBsxz0gAAAAMBAAAPAAAAAAAA&#10;AAEAIAAAACIAAABkcnMvZG93bnJldi54bWxQSwECFAAUAAAACACHTuJANnTBpd8BAAC+AwAADgAA&#10;AAAAAAABACAAAAAhAQAAZHJzL2Uyb0RvYy54bWxQSwUGAAAAAAYABgBZAQAAcgUAAAAA&#10;">
              <v:fill on="f" focussize="0,0"/>
              <v:stroke on="f"/>
              <v:imagedata o:title=""/>
              <o:lock v:ext="edit" aspectratio="f"/>
              <v:textbox inset="0mm,0mm,0mm,0mm" style="mso-fit-shape-to-text:t;">
                <w:txbxContent>
                  <w:p w14:paraId="2D824723">
                    <w:pPr>
                      <w:pStyle w:val="33"/>
                    </w:pPr>
                    <w:r>
                      <w:fldChar w:fldCharType="begin"/>
                    </w:r>
                    <w:r>
                      <w:instrText xml:space="preserve"> PAGE  \* MERGEFORMAT </w:instrText>
                    </w:r>
                    <w:r>
                      <w:fldChar w:fldCharType="separate"/>
                    </w:r>
                    <w:r>
                      <w:t>6</w:t>
                    </w:r>
                    <w:r>
                      <w:fldChar w:fldCharType="end"/>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755E4A" w:rsidRDefault="00755E4A">
      <w:r>
        <w:separator/>
      </w:r>
    </w:p>
  </w:footnote>
  <w:footnote w:type="continuationSeparator" w:id="0">
    <w:p w:rsidR="00755E4A" w:rsidRDefault="00755E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273D1E" w:rsidRDefault="00273D1E">
    <w:pPr>
      <w:pStyle w:val="af4"/>
      <w:pBdr>
        <w:top w:val="none" w:sz="0" w:space="0" w:color="auto"/>
        <w:left w:val="none" w:sz="0" w:space="0" w:color="auto"/>
        <w:bottom w:val="none" w:sz="0" w:space="0" w:color="auto"/>
        <w:right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273D1E" w:rsidRDefault="00273D1E">
    <w:pPr>
      <w:pStyle w:val="af4"/>
      <w:pBdr>
        <w:top w:val="none" w:sz="0" w:space="0" w:color="auto"/>
        <w:left w:val="none" w:sz="0" w:space="0" w:color="auto"/>
        <w:bottom w:val="none" w:sz="0" w:space="0" w:color="auto"/>
        <w:right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273D1E" w:rsidRDefault="00273D1E">
    <w:pPr>
      <w:pStyle w:val="af4"/>
      <w:pBdr>
        <w:top w:val="none" w:sz="0" w:space="0" w:color="auto"/>
        <w:left w:val="none" w:sz="0" w:space="0" w:color="auto"/>
        <w:bottom w:val="none" w:sz="0" w:space="0" w:color="auto"/>
        <w:right w:val="none" w:sz="0" w:space="0" w:color="auto"/>
      </w:pBd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273D1E" w:rsidRDefault="00000000">
    <w:pPr>
      <w:pStyle w:val="affb"/>
      <w:rPr>
        <w:rFonts w:hint="eastAsia"/>
      </w:rPr>
    </w:pPr>
    <w:r>
      <w:t>DB3207/TXXXX</w:t>
    </w:r>
    <w:r>
      <w:t>—</w:t>
    </w:r>
    <w:r w:rsidR="00CD6876">
      <w:rPr>
        <w:rFonts w:hint="eastAsia"/>
      </w:rPr>
      <w:t>XXXX</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273D1E" w:rsidRDefault="00000000">
    <w:pPr>
      <w:pStyle w:val="affb"/>
    </w:pPr>
    <w:r>
      <w:t>DB3207/T</w:t>
    </w:r>
    <w:r>
      <w:rPr>
        <w:rFonts w:hint="eastAsia"/>
      </w:rPr>
      <w:t xml:space="preserve"> </w:t>
    </w:r>
    <w:r>
      <w:t>XXXX</w:t>
    </w:r>
    <w:r>
      <w:t>—</w:t>
    </w:r>
    <w:r>
      <w:rPr>
        <w:rFonts w:hint="eastAsia"/>
      </w:rPr>
      <w:t>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1FC91163"/>
    <w:multiLevelType w:val="multilevel"/>
    <w:tmpl w:val="1FC91163"/>
    <w:lvl w:ilvl="0">
      <w:start w:val="1"/>
      <w:numFmt w:val="decimal"/>
      <w:pStyle w:val="a0"/>
      <w:suff w:val="nothing"/>
      <w:lvlText w:val="%1　"/>
      <w:lvlJc w:val="left"/>
      <w:pPr>
        <w:ind w:left="0" w:firstLine="0"/>
      </w:pPr>
      <w:rPr>
        <w:rFonts w:ascii="黑体" w:eastAsia="黑体" w:hAnsi="Times New Roman" w:hint="eastAsia"/>
        <w:b w:val="0"/>
        <w:i w:val="0"/>
        <w:sz w:val="21"/>
        <w:szCs w:val="21"/>
      </w:rPr>
    </w:lvl>
    <w:lvl w:ilvl="1">
      <w:start w:val="1"/>
      <w:numFmt w:val="decimal"/>
      <w:pStyle w:val="a1"/>
      <w:suff w:val="nothing"/>
      <w:lvlText w:val="%1.%2　"/>
      <w:lvlJc w:val="left"/>
      <w:pPr>
        <w:ind w:left="0" w:firstLine="0"/>
      </w:pPr>
      <w:rPr>
        <w:rFonts w:ascii="黑体" w:eastAsia="黑体" w:hAnsi="Times New Roman" w:cs="Times New Roman" w:hint="default"/>
        <w:b w:val="0"/>
        <w:bCs w:val="0"/>
        <w:i w:val="0"/>
        <w:iCs w:val="0"/>
        <w:caps w:val="0"/>
        <w:strike w:val="0"/>
        <w:dstrike w:val="0"/>
        <w:vanish w:val="0"/>
        <w:spacing w:val="0"/>
        <w:kern w:val="0"/>
        <w:position w:val="0"/>
        <w:sz w:val="21"/>
        <w:szCs w:val="21"/>
        <w:u w:val="none"/>
        <w:vertAlign w:val="baseline"/>
      </w:rPr>
    </w:lvl>
    <w:lvl w:ilvl="2">
      <w:start w:val="1"/>
      <w:numFmt w:val="decimal"/>
      <w:pStyle w:val="a2"/>
      <w:suff w:val="nothing"/>
      <w:lvlText w:val="%1.%2.%3　"/>
      <w:lvlJc w:val="left"/>
      <w:pPr>
        <w:ind w:left="0" w:firstLine="0"/>
      </w:pPr>
      <w:rPr>
        <w:rFonts w:ascii="黑体" w:eastAsia="黑体" w:hAnsi="Times New Roman" w:hint="eastAsia"/>
        <w:b w:val="0"/>
        <w:i w:val="0"/>
        <w:sz w:val="21"/>
      </w:rPr>
    </w:lvl>
    <w:lvl w:ilvl="3">
      <w:start w:val="1"/>
      <w:numFmt w:val="decimal"/>
      <w:pStyle w:val="a3"/>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 w15:restartNumberingAfterBreak="0">
    <w:nsid w:val="39D7AEB8"/>
    <w:multiLevelType w:val="multilevel"/>
    <w:tmpl w:val="39D7AEB8"/>
    <w:lvl w:ilvl="0">
      <w:start w:val="1"/>
      <w:numFmt w:val="lowerLetter"/>
      <w:pStyle w:val="a4"/>
      <w:lvlText w:val="%1)"/>
      <w:lvlJc w:val="left"/>
      <w:pPr>
        <w:tabs>
          <w:tab w:val="left" w:pos="840"/>
        </w:tabs>
        <w:ind w:left="839" w:hanging="419"/>
      </w:pPr>
      <w:rPr>
        <w:rFonts w:ascii="宋体" w:eastAsia="宋体" w:hint="eastAsia"/>
        <w:b w:val="0"/>
        <w:i w:val="0"/>
        <w:sz w:val="21"/>
        <w:szCs w:val="21"/>
      </w:rPr>
    </w:lvl>
    <w:lvl w:ilvl="1">
      <w:start w:val="1"/>
      <w:numFmt w:val="decimal"/>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3" w15:restartNumberingAfterBreak="0">
    <w:nsid w:val="6CEA2025"/>
    <w:multiLevelType w:val="multilevel"/>
    <w:tmpl w:val="6CEA2025"/>
    <w:lvl w:ilvl="0">
      <w:start w:val="1"/>
      <w:numFmt w:val="none"/>
      <w:pStyle w:val="a5"/>
      <w:suff w:val="nothing"/>
      <w:lvlText w:val="%1"/>
      <w:lvlJc w:val="left"/>
      <w:pPr>
        <w:ind w:left="0" w:firstLine="0"/>
      </w:pPr>
      <w:rPr>
        <w:rFonts w:hint="eastAsia"/>
      </w:rPr>
    </w:lvl>
    <w:lvl w:ilvl="1">
      <w:start w:val="1"/>
      <w:numFmt w:val="decimal"/>
      <w:pStyle w:val="a6"/>
      <w:suff w:val="nothing"/>
      <w:lvlText w:val="%1%2　"/>
      <w:lvlJc w:val="left"/>
      <w:pPr>
        <w:ind w:left="0" w:firstLine="0"/>
      </w:pPr>
      <w:rPr>
        <w:rFonts w:ascii="黑体" w:eastAsia="黑体" w:hint="eastAsia"/>
        <w:b w:val="0"/>
        <w:i w:val="0"/>
        <w:sz w:val="21"/>
      </w:rPr>
    </w:lvl>
    <w:lvl w:ilvl="2">
      <w:start w:val="1"/>
      <w:numFmt w:val="decimal"/>
      <w:pStyle w:val="a7"/>
      <w:suff w:val="nothing"/>
      <w:lvlText w:val="%1%2.%3　"/>
      <w:lvlJc w:val="left"/>
      <w:pPr>
        <w:ind w:left="1702"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8"/>
      <w:suff w:val="nothing"/>
      <w:lvlText w:val="%1%2.%3.%4　"/>
      <w:lvlJc w:val="left"/>
      <w:pPr>
        <w:ind w:left="0" w:firstLine="0"/>
      </w:pPr>
      <w:rPr>
        <w:rFonts w:ascii="黑体" w:eastAsia="黑体" w:hint="eastAsia"/>
        <w:b w:val="0"/>
        <w:i w:val="0"/>
        <w:sz w:val="21"/>
      </w:rPr>
    </w:lvl>
    <w:lvl w:ilvl="4">
      <w:start w:val="1"/>
      <w:numFmt w:val="decimal"/>
      <w:pStyle w:val="a9"/>
      <w:suff w:val="nothing"/>
      <w:lvlText w:val="%1%2.%3.%4.%5　"/>
      <w:lvlJc w:val="left"/>
      <w:pPr>
        <w:ind w:left="0" w:firstLine="0"/>
      </w:pPr>
      <w:rPr>
        <w:rFonts w:ascii="黑体" w:eastAsia="黑体" w:hint="eastAsia"/>
        <w:b w:val="0"/>
        <w:i w:val="0"/>
        <w:sz w:val="21"/>
      </w:rPr>
    </w:lvl>
    <w:lvl w:ilvl="5">
      <w:start w:val="1"/>
      <w:numFmt w:val="decimal"/>
      <w:pStyle w:val="aa"/>
      <w:suff w:val="nothing"/>
      <w:lvlText w:val="%1%2.%3.%4.%5.%6　"/>
      <w:lvlJc w:val="left"/>
      <w:pPr>
        <w:ind w:left="0" w:firstLine="0"/>
      </w:pPr>
      <w:rPr>
        <w:rFonts w:ascii="黑体" w:eastAsia="黑体" w:hint="eastAsia"/>
        <w:b w:val="0"/>
        <w:i w:val="0"/>
        <w:sz w:val="21"/>
      </w:rPr>
    </w:lvl>
    <w:lvl w:ilvl="6">
      <w:start w:val="1"/>
      <w:numFmt w:val="decimal"/>
      <w:pStyle w:val="ab"/>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16cid:durableId="1788042913">
    <w:abstractNumId w:val="1"/>
  </w:num>
  <w:num w:numId="2" w16cid:durableId="558126914">
    <w:abstractNumId w:val="2"/>
  </w:num>
  <w:num w:numId="3" w16cid:durableId="1645504585">
    <w:abstractNumId w:val="0"/>
  </w:num>
  <w:num w:numId="4" w16cid:durableId="11973057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dlMDJkMWY0NzMwOTMyNjM3YWM1MjE4YWZjMjliZmIifQ=="/>
  </w:docVars>
  <w:rsids>
    <w:rsidRoot w:val="00231C20"/>
    <w:rsid w:val="00002B8A"/>
    <w:rsid w:val="000208C6"/>
    <w:rsid w:val="00020D33"/>
    <w:rsid w:val="00036F79"/>
    <w:rsid w:val="00045887"/>
    <w:rsid w:val="0007756E"/>
    <w:rsid w:val="000948D1"/>
    <w:rsid w:val="000A4B8A"/>
    <w:rsid w:val="000A5BF6"/>
    <w:rsid w:val="000B30E2"/>
    <w:rsid w:val="000B5CB0"/>
    <w:rsid w:val="000D3302"/>
    <w:rsid w:val="000F3577"/>
    <w:rsid w:val="00100A5D"/>
    <w:rsid w:val="001041B2"/>
    <w:rsid w:val="00111D34"/>
    <w:rsid w:val="001166C2"/>
    <w:rsid w:val="001318A2"/>
    <w:rsid w:val="00150DD5"/>
    <w:rsid w:val="00172C94"/>
    <w:rsid w:val="00184E2B"/>
    <w:rsid w:val="00186F39"/>
    <w:rsid w:val="00187477"/>
    <w:rsid w:val="00191198"/>
    <w:rsid w:val="00196CCC"/>
    <w:rsid w:val="001A76EB"/>
    <w:rsid w:val="001B42FC"/>
    <w:rsid w:val="001B5AE2"/>
    <w:rsid w:val="001C2B46"/>
    <w:rsid w:val="001C3DC3"/>
    <w:rsid w:val="001E49C2"/>
    <w:rsid w:val="001E6994"/>
    <w:rsid w:val="001F412F"/>
    <w:rsid w:val="001F6640"/>
    <w:rsid w:val="00223AA4"/>
    <w:rsid w:val="00231C20"/>
    <w:rsid w:val="00232B4F"/>
    <w:rsid w:val="00250C4A"/>
    <w:rsid w:val="00262729"/>
    <w:rsid w:val="00267ACF"/>
    <w:rsid w:val="00273D1E"/>
    <w:rsid w:val="002742BF"/>
    <w:rsid w:val="00275D33"/>
    <w:rsid w:val="00282FBE"/>
    <w:rsid w:val="00290BFA"/>
    <w:rsid w:val="002A799A"/>
    <w:rsid w:val="002B253E"/>
    <w:rsid w:val="002B6A10"/>
    <w:rsid w:val="002C54B3"/>
    <w:rsid w:val="002E0951"/>
    <w:rsid w:val="002E4119"/>
    <w:rsid w:val="002E7741"/>
    <w:rsid w:val="002F771A"/>
    <w:rsid w:val="003108E0"/>
    <w:rsid w:val="00324431"/>
    <w:rsid w:val="003356A5"/>
    <w:rsid w:val="00337950"/>
    <w:rsid w:val="0037720B"/>
    <w:rsid w:val="00381A8B"/>
    <w:rsid w:val="00391E0C"/>
    <w:rsid w:val="00392167"/>
    <w:rsid w:val="003A0219"/>
    <w:rsid w:val="003C03C4"/>
    <w:rsid w:val="003C0779"/>
    <w:rsid w:val="003C58CB"/>
    <w:rsid w:val="003E6D8B"/>
    <w:rsid w:val="003F2294"/>
    <w:rsid w:val="004615AB"/>
    <w:rsid w:val="00465954"/>
    <w:rsid w:val="00482BC2"/>
    <w:rsid w:val="004A40B5"/>
    <w:rsid w:val="004C3639"/>
    <w:rsid w:val="004C4DAF"/>
    <w:rsid w:val="004E7F42"/>
    <w:rsid w:val="00500A3F"/>
    <w:rsid w:val="00500E8E"/>
    <w:rsid w:val="00504F13"/>
    <w:rsid w:val="00511049"/>
    <w:rsid w:val="00530679"/>
    <w:rsid w:val="0053651D"/>
    <w:rsid w:val="005556E8"/>
    <w:rsid w:val="005560B8"/>
    <w:rsid w:val="00565FC6"/>
    <w:rsid w:val="0056711C"/>
    <w:rsid w:val="005752A5"/>
    <w:rsid w:val="005914CD"/>
    <w:rsid w:val="005B13B0"/>
    <w:rsid w:val="005D721E"/>
    <w:rsid w:val="005E757C"/>
    <w:rsid w:val="00605B25"/>
    <w:rsid w:val="006145E8"/>
    <w:rsid w:val="00625CAE"/>
    <w:rsid w:val="00643250"/>
    <w:rsid w:val="00652022"/>
    <w:rsid w:val="00681262"/>
    <w:rsid w:val="00682B6A"/>
    <w:rsid w:val="00686442"/>
    <w:rsid w:val="006A4E23"/>
    <w:rsid w:val="006B2774"/>
    <w:rsid w:val="006B5A3F"/>
    <w:rsid w:val="006C4C85"/>
    <w:rsid w:val="006C5564"/>
    <w:rsid w:val="006E77AC"/>
    <w:rsid w:val="006F47D1"/>
    <w:rsid w:val="007233A9"/>
    <w:rsid w:val="00724C24"/>
    <w:rsid w:val="007374BE"/>
    <w:rsid w:val="00755E4A"/>
    <w:rsid w:val="00764E3E"/>
    <w:rsid w:val="007657A1"/>
    <w:rsid w:val="007971EA"/>
    <w:rsid w:val="007A3B06"/>
    <w:rsid w:val="007A5692"/>
    <w:rsid w:val="007C5A22"/>
    <w:rsid w:val="007F75CA"/>
    <w:rsid w:val="008061A5"/>
    <w:rsid w:val="00811174"/>
    <w:rsid w:val="0082571D"/>
    <w:rsid w:val="008473A7"/>
    <w:rsid w:val="00854D75"/>
    <w:rsid w:val="00857904"/>
    <w:rsid w:val="00864103"/>
    <w:rsid w:val="0087328E"/>
    <w:rsid w:val="00883B7E"/>
    <w:rsid w:val="008A29A1"/>
    <w:rsid w:val="008A34F6"/>
    <w:rsid w:val="008A682D"/>
    <w:rsid w:val="008D46EC"/>
    <w:rsid w:val="008E6C5B"/>
    <w:rsid w:val="008E70F9"/>
    <w:rsid w:val="008F24A5"/>
    <w:rsid w:val="00906469"/>
    <w:rsid w:val="009069ED"/>
    <w:rsid w:val="0091141A"/>
    <w:rsid w:val="00923969"/>
    <w:rsid w:val="0092706D"/>
    <w:rsid w:val="00957F8B"/>
    <w:rsid w:val="00962D11"/>
    <w:rsid w:val="00965B4F"/>
    <w:rsid w:val="00967FF1"/>
    <w:rsid w:val="00970BCE"/>
    <w:rsid w:val="00975BC3"/>
    <w:rsid w:val="00975D91"/>
    <w:rsid w:val="009A025E"/>
    <w:rsid w:val="009A389E"/>
    <w:rsid w:val="009B5688"/>
    <w:rsid w:val="009B76D0"/>
    <w:rsid w:val="009C2759"/>
    <w:rsid w:val="009C7CF2"/>
    <w:rsid w:val="009E4DE1"/>
    <w:rsid w:val="009E4E7F"/>
    <w:rsid w:val="009E50DD"/>
    <w:rsid w:val="009E561C"/>
    <w:rsid w:val="00A13AF1"/>
    <w:rsid w:val="00A149FA"/>
    <w:rsid w:val="00A5559A"/>
    <w:rsid w:val="00A71ADA"/>
    <w:rsid w:val="00A73887"/>
    <w:rsid w:val="00A77F44"/>
    <w:rsid w:val="00A81B38"/>
    <w:rsid w:val="00A83112"/>
    <w:rsid w:val="00A83BD6"/>
    <w:rsid w:val="00A9206D"/>
    <w:rsid w:val="00AC1A6E"/>
    <w:rsid w:val="00AD5581"/>
    <w:rsid w:val="00AF0234"/>
    <w:rsid w:val="00AF2C2F"/>
    <w:rsid w:val="00AF6800"/>
    <w:rsid w:val="00B175E9"/>
    <w:rsid w:val="00B31ED6"/>
    <w:rsid w:val="00B4649F"/>
    <w:rsid w:val="00B6489F"/>
    <w:rsid w:val="00B7698B"/>
    <w:rsid w:val="00B80EA8"/>
    <w:rsid w:val="00B84B61"/>
    <w:rsid w:val="00BC34ED"/>
    <w:rsid w:val="00BD15D7"/>
    <w:rsid w:val="00BD3012"/>
    <w:rsid w:val="00BD6B04"/>
    <w:rsid w:val="00BE4990"/>
    <w:rsid w:val="00BE72DE"/>
    <w:rsid w:val="00BF06EC"/>
    <w:rsid w:val="00C04A0D"/>
    <w:rsid w:val="00C06E43"/>
    <w:rsid w:val="00C159A4"/>
    <w:rsid w:val="00C328AE"/>
    <w:rsid w:val="00C406C0"/>
    <w:rsid w:val="00C45E3B"/>
    <w:rsid w:val="00C608FC"/>
    <w:rsid w:val="00C6325A"/>
    <w:rsid w:val="00C704F0"/>
    <w:rsid w:val="00C73DED"/>
    <w:rsid w:val="00C833D7"/>
    <w:rsid w:val="00C853E3"/>
    <w:rsid w:val="00CA1F68"/>
    <w:rsid w:val="00CB0DE2"/>
    <w:rsid w:val="00CD14DD"/>
    <w:rsid w:val="00CD6876"/>
    <w:rsid w:val="00CE0E30"/>
    <w:rsid w:val="00CF0370"/>
    <w:rsid w:val="00CF4733"/>
    <w:rsid w:val="00D0324A"/>
    <w:rsid w:val="00D043B5"/>
    <w:rsid w:val="00D158C7"/>
    <w:rsid w:val="00D15B71"/>
    <w:rsid w:val="00D3719F"/>
    <w:rsid w:val="00D53368"/>
    <w:rsid w:val="00D557CA"/>
    <w:rsid w:val="00D56370"/>
    <w:rsid w:val="00D6091A"/>
    <w:rsid w:val="00D750CD"/>
    <w:rsid w:val="00D9302C"/>
    <w:rsid w:val="00D93DE1"/>
    <w:rsid w:val="00DC186A"/>
    <w:rsid w:val="00DD5D37"/>
    <w:rsid w:val="00DE4F8F"/>
    <w:rsid w:val="00E22B85"/>
    <w:rsid w:val="00E33432"/>
    <w:rsid w:val="00E6657C"/>
    <w:rsid w:val="00E85E4B"/>
    <w:rsid w:val="00EA7071"/>
    <w:rsid w:val="00EB2AE5"/>
    <w:rsid w:val="00EC353A"/>
    <w:rsid w:val="00EC5C04"/>
    <w:rsid w:val="00ED0A99"/>
    <w:rsid w:val="00ED4D7B"/>
    <w:rsid w:val="00EE35E2"/>
    <w:rsid w:val="00EF747F"/>
    <w:rsid w:val="00F01733"/>
    <w:rsid w:val="00F116B2"/>
    <w:rsid w:val="00F15707"/>
    <w:rsid w:val="00F311C6"/>
    <w:rsid w:val="00F5250D"/>
    <w:rsid w:val="00F54D90"/>
    <w:rsid w:val="00F8005D"/>
    <w:rsid w:val="00F8631A"/>
    <w:rsid w:val="00F906AD"/>
    <w:rsid w:val="00F90E9C"/>
    <w:rsid w:val="00F9383E"/>
    <w:rsid w:val="00FA13DB"/>
    <w:rsid w:val="00FB1859"/>
    <w:rsid w:val="00FB4DD7"/>
    <w:rsid w:val="00FE1ADA"/>
    <w:rsid w:val="00FE59D1"/>
    <w:rsid w:val="00FE7330"/>
    <w:rsid w:val="00FF1379"/>
    <w:rsid w:val="00FF41F4"/>
    <w:rsid w:val="00FF4656"/>
    <w:rsid w:val="00FF4E33"/>
    <w:rsid w:val="00FF519D"/>
    <w:rsid w:val="016B49B0"/>
    <w:rsid w:val="01E94041"/>
    <w:rsid w:val="022665A2"/>
    <w:rsid w:val="02FA4BEA"/>
    <w:rsid w:val="037F1B0A"/>
    <w:rsid w:val="04442864"/>
    <w:rsid w:val="0485383D"/>
    <w:rsid w:val="04F634C1"/>
    <w:rsid w:val="059557CB"/>
    <w:rsid w:val="05A56B28"/>
    <w:rsid w:val="06197AB7"/>
    <w:rsid w:val="08262AF7"/>
    <w:rsid w:val="08EA2337"/>
    <w:rsid w:val="0A7B6CC7"/>
    <w:rsid w:val="0A9610CA"/>
    <w:rsid w:val="0AA2710B"/>
    <w:rsid w:val="0ACB549F"/>
    <w:rsid w:val="0B1B7D7A"/>
    <w:rsid w:val="0B1E2FD8"/>
    <w:rsid w:val="0BA17079"/>
    <w:rsid w:val="0BEC6947"/>
    <w:rsid w:val="0C412CD6"/>
    <w:rsid w:val="0DAE11D5"/>
    <w:rsid w:val="0F671BE9"/>
    <w:rsid w:val="10D74D42"/>
    <w:rsid w:val="10FE598E"/>
    <w:rsid w:val="1112331A"/>
    <w:rsid w:val="12DE64A6"/>
    <w:rsid w:val="1402149D"/>
    <w:rsid w:val="1481784C"/>
    <w:rsid w:val="148A3B4F"/>
    <w:rsid w:val="15617D83"/>
    <w:rsid w:val="1596468B"/>
    <w:rsid w:val="16006128"/>
    <w:rsid w:val="16266312"/>
    <w:rsid w:val="18117AF1"/>
    <w:rsid w:val="18616F2E"/>
    <w:rsid w:val="188624F1"/>
    <w:rsid w:val="18D15B57"/>
    <w:rsid w:val="18F82AC4"/>
    <w:rsid w:val="198A78DD"/>
    <w:rsid w:val="198B4B17"/>
    <w:rsid w:val="1B0442B2"/>
    <w:rsid w:val="1C9B6107"/>
    <w:rsid w:val="1DB82ACF"/>
    <w:rsid w:val="200854A4"/>
    <w:rsid w:val="20196452"/>
    <w:rsid w:val="207234F6"/>
    <w:rsid w:val="221A4B12"/>
    <w:rsid w:val="22561186"/>
    <w:rsid w:val="231860A1"/>
    <w:rsid w:val="23E5367B"/>
    <w:rsid w:val="241E6EC9"/>
    <w:rsid w:val="250E7DC2"/>
    <w:rsid w:val="25DD1FAB"/>
    <w:rsid w:val="27296A02"/>
    <w:rsid w:val="277B168E"/>
    <w:rsid w:val="29382F1C"/>
    <w:rsid w:val="295D1784"/>
    <w:rsid w:val="296B75CF"/>
    <w:rsid w:val="29704D67"/>
    <w:rsid w:val="2B1D621F"/>
    <w:rsid w:val="2B88558B"/>
    <w:rsid w:val="2C762362"/>
    <w:rsid w:val="2CD01871"/>
    <w:rsid w:val="2D5E4CD1"/>
    <w:rsid w:val="2E6513FB"/>
    <w:rsid w:val="2EC57D9A"/>
    <w:rsid w:val="2EE8124D"/>
    <w:rsid w:val="2EEC1E40"/>
    <w:rsid w:val="2EF80AA4"/>
    <w:rsid w:val="2F6530E3"/>
    <w:rsid w:val="2FF0097C"/>
    <w:rsid w:val="315417B8"/>
    <w:rsid w:val="31CE3FDC"/>
    <w:rsid w:val="31CE6039"/>
    <w:rsid w:val="340C1D01"/>
    <w:rsid w:val="348A60DD"/>
    <w:rsid w:val="34CD2369"/>
    <w:rsid w:val="34F51609"/>
    <w:rsid w:val="350535BC"/>
    <w:rsid w:val="352F48CE"/>
    <w:rsid w:val="359067E8"/>
    <w:rsid w:val="35BF3F91"/>
    <w:rsid w:val="36951590"/>
    <w:rsid w:val="37012781"/>
    <w:rsid w:val="37A4015B"/>
    <w:rsid w:val="3806155D"/>
    <w:rsid w:val="39EB445E"/>
    <w:rsid w:val="3A2916EA"/>
    <w:rsid w:val="3ADB0022"/>
    <w:rsid w:val="3B675832"/>
    <w:rsid w:val="3B7B7FEC"/>
    <w:rsid w:val="3DE56673"/>
    <w:rsid w:val="3E047CE6"/>
    <w:rsid w:val="3EBC5803"/>
    <w:rsid w:val="3FE8665F"/>
    <w:rsid w:val="407B48D9"/>
    <w:rsid w:val="40C32CF5"/>
    <w:rsid w:val="410C0202"/>
    <w:rsid w:val="414F4E84"/>
    <w:rsid w:val="417D0085"/>
    <w:rsid w:val="42AC05E7"/>
    <w:rsid w:val="4392664F"/>
    <w:rsid w:val="44EC07E1"/>
    <w:rsid w:val="454C6431"/>
    <w:rsid w:val="459834BF"/>
    <w:rsid w:val="473B556B"/>
    <w:rsid w:val="48B33F86"/>
    <w:rsid w:val="48DA394D"/>
    <w:rsid w:val="49067309"/>
    <w:rsid w:val="4B065DB8"/>
    <w:rsid w:val="4B751CF1"/>
    <w:rsid w:val="4C0F3FD0"/>
    <w:rsid w:val="4C413131"/>
    <w:rsid w:val="4C8F6173"/>
    <w:rsid w:val="4E4C4FAF"/>
    <w:rsid w:val="4E87536B"/>
    <w:rsid w:val="4EEC23A6"/>
    <w:rsid w:val="4F5465B8"/>
    <w:rsid w:val="50257134"/>
    <w:rsid w:val="50D34059"/>
    <w:rsid w:val="51B33619"/>
    <w:rsid w:val="51D20A2F"/>
    <w:rsid w:val="52175722"/>
    <w:rsid w:val="52ED5043"/>
    <w:rsid w:val="53AA0A6A"/>
    <w:rsid w:val="54E6608F"/>
    <w:rsid w:val="56731990"/>
    <w:rsid w:val="58482FF0"/>
    <w:rsid w:val="584D6092"/>
    <w:rsid w:val="590931BE"/>
    <w:rsid w:val="591A20DD"/>
    <w:rsid w:val="591E1DB4"/>
    <w:rsid w:val="59C1601F"/>
    <w:rsid w:val="5AD07AC2"/>
    <w:rsid w:val="5BA1188F"/>
    <w:rsid w:val="5C004AB9"/>
    <w:rsid w:val="5D567C42"/>
    <w:rsid w:val="5E1E1580"/>
    <w:rsid w:val="5EF1653A"/>
    <w:rsid w:val="5F06363F"/>
    <w:rsid w:val="5F445F26"/>
    <w:rsid w:val="5FCE3F36"/>
    <w:rsid w:val="612A039F"/>
    <w:rsid w:val="616616D2"/>
    <w:rsid w:val="63630D3D"/>
    <w:rsid w:val="63882CAA"/>
    <w:rsid w:val="64833947"/>
    <w:rsid w:val="64C725F9"/>
    <w:rsid w:val="650A353E"/>
    <w:rsid w:val="651732D5"/>
    <w:rsid w:val="656C4C34"/>
    <w:rsid w:val="659327E0"/>
    <w:rsid w:val="66726677"/>
    <w:rsid w:val="66BB4F43"/>
    <w:rsid w:val="66D03326"/>
    <w:rsid w:val="66EF262A"/>
    <w:rsid w:val="677E2663"/>
    <w:rsid w:val="678B6BE2"/>
    <w:rsid w:val="67951292"/>
    <w:rsid w:val="68093B71"/>
    <w:rsid w:val="6AA53448"/>
    <w:rsid w:val="6B0B7898"/>
    <w:rsid w:val="6BC76331"/>
    <w:rsid w:val="6CA20E9D"/>
    <w:rsid w:val="6CDB0CB5"/>
    <w:rsid w:val="6D124F19"/>
    <w:rsid w:val="6E672353"/>
    <w:rsid w:val="6ED8354F"/>
    <w:rsid w:val="70640CBF"/>
    <w:rsid w:val="708774BB"/>
    <w:rsid w:val="73425277"/>
    <w:rsid w:val="738E2DDF"/>
    <w:rsid w:val="75B12C1A"/>
    <w:rsid w:val="77167266"/>
    <w:rsid w:val="782429BE"/>
    <w:rsid w:val="78F21702"/>
    <w:rsid w:val="798C63B0"/>
    <w:rsid w:val="79D4791E"/>
    <w:rsid w:val="7A49714C"/>
    <w:rsid w:val="7ACD0A2E"/>
    <w:rsid w:val="7AF83CFD"/>
    <w:rsid w:val="7B2E2FBA"/>
    <w:rsid w:val="7B8463D7"/>
    <w:rsid w:val="7C0B2CCB"/>
    <w:rsid w:val="7C120DEF"/>
    <w:rsid w:val="7C421F9D"/>
    <w:rsid w:val="7C4662B4"/>
    <w:rsid w:val="7D741D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8F5E172"/>
  <w15:docId w15:val="{C78A5885-404C-4CE6-A4A3-67A32E1C8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unhideWhenUsed="1" w:qFormat="1"/>
    <w:lsdException w:name="header" w:uiPriority="99"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c">
    <w:name w:val="Normal"/>
    <w:qFormat/>
    <w:pPr>
      <w:widowControl w:val="0"/>
      <w:jc w:val="both"/>
    </w:pPr>
    <w:rPr>
      <w:kern w:val="2"/>
      <w:sz w:val="21"/>
      <w:szCs w:val="24"/>
    </w:rPr>
  </w:style>
  <w:style w:type="character" w:default="1" w:styleId="ad">
    <w:name w:val="Default Paragraph Font"/>
    <w:uiPriority w:val="1"/>
    <w:semiHidden/>
    <w:unhideWhenUsed/>
  </w:style>
  <w:style w:type="table" w:default="1" w:styleId="ae">
    <w:name w:val="Normal Table"/>
    <w:uiPriority w:val="99"/>
    <w:semiHidden/>
    <w:unhideWhenUsed/>
    <w:tblPr>
      <w:tblInd w:w="0" w:type="dxa"/>
      <w:tblCellMar>
        <w:top w:w="0" w:type="dxa"/>
        <w:left w:w="108" w:type="dxa"/>
        <w:bottom w:w="0" w:type="dxa"/>
        <w:right w:w="108" w:type="dxa"/>
      </w:tblCellMar>
    </w:tblPr>
  </w:style>
  <w:style w:type="numbering" w:default="1" w:styleId="af">
    <w:name w:val="No List"/>
    <w:uiPriority w:val="99"/>
    <w:semiHidden/>
    <w:unhideWhenUsed/>
  </w:style>
  <w:style w:type="paragraph" w:styleId="af0">
    <w:name w:val="Balloon Text"/>
    <w:basedOn w:val="ac"/>
    <w:link w:val="af1"/>
    <w:qFormat/>
    <w:rPr>
      <w:sz w:val="18"/>
      <w:szCs w:val="18"/>
    </w:rPr>
  </w:style>
  <w:style w:type="paragraph" w:styleId="af2">
    <w:name w:val="footer"/>
    <w:basedOn w:val="ac"/>
    <w:link w:val="af3"/>
    <w:uiPriority w:val="99"/>
    <w:qFormat/>
    <w:pPr>
      <w:tabs>
        <w:tab w:val="center" w:pos="4153"/>
        <w:tab w:val="right" w:pos="8306"/>
      </w:tabs>
      <w:snapToGrid w:val="0"/>
      <w:jc w:val="left"/>
    </w:pPr>
    <w:rPr>
      <w:sz w:val="18"/>
    </w:rPr>
  </w:style>
  <w:style w:type="paragraph" w:styleId="af4">
    <w:name w:val="header"/>
    <w:basedOn w:val="ac"/>
    <w:uiPriority w:val="99"/>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c"/>
    <w:next w:val="ac"/>
    <w:uiPriority w:val="39"/>
    <w:qFormat/>
  </w:style>
  <w:style w:type="paragraph" w:styleId="TOC2">
    <w:name w:val="toc 2"/>
    <w:basedOn w:val="ac"/>
    <w:next w:val="ac"/>
    <w:uiPriority w:val="39"/>
    <w:unhideWhenUsed/>
    <w:qFormat/>
    <w:pPr>
      <w:ind w:leftChars="200" w:left="420"/>
    </w:pPr>
  </w:style>
  <w:style w:type="paragraph" w:styleId="af5">
    <w:name w:val="Normal (Web)"/>
    <w:basedOn w:val="ac"/>
    <w:qFormat/>
    <w:pPr>
      <w:spacing w:before="100" w:beforeAutospacing="1" w:after="100" w:afterAutospacing="1"/>
      <w:jc w:val="left"/>
    </w:pPr>
    <w:rPr>
      <w:kern w:val="0"/>
      <w:sz w:val="24"/>
    </w:rPr>
  </w:style>
  <w:style w:type="table" w:styleId="af6">
    <w:name w:val="Table Grid"/>
    <w:basedOn w:val="ae"/>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d"/>
    <w:uiPriority w:val="99"/>
    <w:qFormat/>
    <w:rPr>
      <w:color w:val="0000FF"/>
      <w:u w:val="single"/>
    </w:rPr>
  </w:style>
  <w:style w:type="paragraph" w:customStyle="1" w:styleId="af8">
    <w:name w:val="文献分类号"/>
    <w:uiPriority w:val="99"/>
    <w:qFormat/>
    <w:pPr>
      <w:framePr w:hSpace="180" w:vSpace="180" w:wrap="around" w:hAnchor="margin" w:y="1" w:anchorLock="1"/>
      <w:widowControl w:val="0"/>
      <w:textAlignment w:val="center"/>
    </w:pPr>
    <w:rPr>
      <w:rFonts w:ascii="黑体" w:eastAsia="黑体"/>
      <w:sz w:val="21"/>
      <w:szCs w:val="21"/>
    </w:rPr>
  </w:style>
  <w:style w:type="paragraph" w:customStyle="1" w:styleId="af9">
    <w:name w:val="其他标准标志"/>
    <w:basedOn w:val="afa"/>
    <w:uiPriority w:val="99"/>
    <w:qFormat/>
    <w:pPr>
      <w:framePr w:w="6101" w:wrap="around" w:vAnchor="page" w:hAnchor="page" w:x="4673" w:y="942"/>
    </w:pPr>
    <w:rPr>
      <w:w w:val="130"/>
    </w:rPr>
  </w:style>
  <w:style w:type="paragraph" w:customStyle="1" w:styleId="afa">
    <w:name w:val="标准标志"/>
    <w:next w:val="ac"/>
    <w:uiPriority w:val="99"/>
    <w:qFormat/>
    <w:pPr>
      <w:framePr w:w="2546" w:h="1389" w:hRule="exact" w:hSpace="181" w:vSpace="181" w:wrap="around" w:hAnchor="margin" w:x="6522" w:y="398" w:anchorLock="1"/>
      <w:shd w:val="solid" w:color="FFFFFF" w:fill="FFFFFF"/>
      <w:spacing w:line="240" w:lineRule="atLeast"/>
      <w:jc w:val="right"/>
    </w:pPr>
    <w:rPr>
      <w:b/>
      <w:w w:val="170"/>
      <w:sz w:val="96"/>
      <w:szCs w:val="96"/>
    </w:rPr>
  </w:style>
  <w:style w:type="paragraph" w:customStyle="1" w:styleId="afb">
    <w:name w:val="其他标准称谓"/>
    <w:next w:val="ac"/>
    <w:uiPriority w:val="99"/>
    <w:qFormat/>
    <w:pPr>
      <w:framePr w:hSpace="181" w:vSpace="181" w:wrap="around" w:vAnchor="page" w:hAnchor="page" w:x="1419" w:y="2286" w:anchorLock="1"/>
      <w:spacing w:line="240" w:lineRule="atLeast"/>
      <w:jc w:val="distribute"/>
    </w:pPr>
    <w:rPr>
      <w:rFonts w:ascii="黑体" w:eastAsia="黑体" w:hAnsi="宋体"/>
      <w:spacing w:val="-40"/>
      <w:sz w:val="48"/>
      <w:szCs w:val="52"/>
    </w:rPr>
  </w:style>
  <w:style w:type="paragraph" w:customStyle="1" w:styleId="2">
    <w:name w:val="封面标准号2"/>
    <w:uiPriority w:val="99"/>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c">
    <w:name w:val="封面标准代替信息"/>
    <w:uiPriority w:val="99"/>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d">
    <w:name w:val="封面标准名称"/>
    <w:uiPriority w:val="99"/>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e">
    <w:name w:val="封面标准英文名称"/>
    <w:basedOn w:val="afd"/>
    <w:uiPriority w:val="99"/>
    <w:qFormat/>
    <w:pPr>
      <w:framePr w:wrap="around"/>
      <w:spacing w:before="370" w:line="400" w:lineRule="exact"/>
    </w:pPr>
    <w:rPr>
      <w:rFonts w:ascii="Times New Roman"/>
      <w:sz w:val="28"/>
      <w:szCs w:val="28"/>
    </w:rPr>
  </w:style>
  <w:style w:type="paragraph" w:customStyle="1" w:styleId="aff">
    <w:name w:val="封面一致性程度标识"/>
    <w:basedOn w:val="afe"/>
    <w:uiPriority w:val="99"/>
    <w:qFormat/>
    <w:pPr>
      <w:framePr w:wrap="around"/>
      <w:spacing w:before="440"/>
    </w:pPr>
    <w:rPr>
      <w:rFonts w:ascii="宋体" w:eastAsia="宋体"/>
    </w:rPr>
  </w:style>
  <w:style w:type="paragraph" w:customStyle="1" w:styleId="aff0">
    <w:name w:val="封面标准文稿类别"/>
    <w:basedOn w:val="aff"/>
    <w:uiPriority w:val="99"/>
    <w:qFormat/>
    <w:pPr>
      <w:framePr w:wrap="around"/>
      <w:spacing w:after="160" w:line="240" w:lineRule="auto"/>
    </w:pPr>
    <w:rPr>
      <w:sz w:val="24"/>
    </w:rPr>
  </w:style>
  <w:style w:type="paragraph" w:customStyle="1" w:styleId="aff1">
    <w:name w:val="封面标准文稿编辑信息"/>
    <w:basedOn w:val="aff0"/>
    <w:uiPriority w:val="99"/>
    <w:qFormat/>
    <w:pPr>
      <w:framePr w:wrap="around"/>
      <w:spacing w:before="180" w:line="180" w:lineRule="exact"/>
    </w:pPr>
    <w:rPr>
      <w:sz w:val="21"/>
    </w:rPr>
  </w:style>
  <w:style w:type="paragraph" w:customStyle="1" w:styleId="aff2">
    <w:name w:val="其他发布日期"/>
    <w:basedOn w:val="aff3"/>
    <w:uiPriority w:val="99"/>
    <w:qFormat/>
    <w:pPr>
      <w:framePr w:wrap="around" w:vAnchor="page" w:hAnchor="text" w:x="1419"/>
    </w:pPr>
  </w:style>
  <w:style w:type="paragraph" w:customStyle="1" w:styleId="aff3">
    <w:name w:val="发布日期"/>
    <w:uiPriority w:val="99"/>
    <w:qFormat/>
    <w:pPr>
      <w:framePr w:w="3997" w:h="471" w:hRule="exact" w:vSpace="181" w:wrap="around" w:hAnchor="page" w:x="7089" w:y="14097" w:anchorLock="1"/>
    </w:pPr>
    <w:rPr>
      <w:rFonts w:eastAsia="黑体"/>
      <w:sz w:val="28"/>
    </w:rPr>
  </w:style>
  <w:style w:type="paragraph" w:customStyle="1" w:styleId="aff4">
    <w:name w:val="其他实施日期"/>
    <w:basedOn w:val="aff5"/>
    <w:uiPriority w:val="99"/>
    <w:qFormat/>
    <w:pPr>
      <w:framePr w:wrap="around"/>
    </w:pPr>
  </w:style>
  <w:style w:type="paragraph" w:customStyle="1" w:styleId="aff5">
    <w:name w:val="实施日期"/>
    <w:basedOn w:val="aff3"/>
    <w:uiPriority w:val="99"/>
    <w:qFormat/>
    <w:pPr>
      <w:framePr w:wrap="around" w:vAnchor="page" w:hAnchor="text"/>
      <w:jc w:val="right"/>
    </w:pPr>
  </w:style>
  <w:style w:type="paragraph" w:customStyle="1" w:styleId="aff6">
    <w:name w:val="其他发布部门"/>
    <w:basedOn w:val="aff7"/>
    <w:uiPriority w:val="99"/>
    <w:qFormat/>
    <w:pPr>
      <w:framePr w:wrap="around" w:y="15310"/>
      <w:spacing w:line="240" w:lineRule="atLeast"/>
    </w:pPr>
    <w:rPr>
      <w:rFonts w:ascii="黑体" w:eastAsia="黑体"/>
      <w:b w:val="0"/>
    </w:rPr>
  </w:style>
  <w:style w:type="paragraph" w:customStyle="1" w:styleId="aff7">
    <w:name w:val="发布部门"/>
    <w:next w:val="aff8"/>
    <w:uiPriority w:val="99"/>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8">
    <w:name w:val="段"/>
    <w:link w:val="CharChar"/>
    <w:uiPriority w:val="99"/>
    <w:qFormat/>
    <w:pPr>
      <w:tabs>
        <w:tab w:val="center" w:pos="4201"/>
        <w:tab w:val="right" w:leader="dot" w:pos="9298"/>
      </w:tabs>
      <w:autoSpaceDE w:val="0"/>
      <w:autoSpaceDN w:val="0"/>
      <w:ind w:firstLineChars="200" w:firstLine="420"/>
      <w:jc w:val="both"/>
    </w:pPr>
    <w:rPr>
      <w:rFonts w:ascii="宋体"/>
      <w:sz w:val="21"/>
    </w:rPr>
  </w:style>
  <w:style w:type="character" w:customStyle="1" w:styleId="aff9">
    <w:name w:val="发布"/>
    <w:uiPriority w:val="99"/>
    <w:qFormat/>
    <w:rPr>
      <w:rFonts w:ascii="黑体" w:eastAsia="黑体" w:cs="Times New Roman"/>
      <w:spacing w:val="85"/>
      <w:w w:val="100"/>
      <w:position w:val="3"/>
      <w:sz w:val="28"/>
      <w:szCs w:val="28"/>
    </w:rPr>
  </w:style>
  <w:style w:type="paragraph" w:customStyle="1" w:styleId="affa">
    <w:name w:val="前言、引言标题"/>
    <w:next w:val="aff8"/>
    <w:uiPriority w:val="99"/>
    <w:qFormat/>
    <w:pPr>
      <w:keepNext/>
      <w:pageBreakBefore/>
      <w:shd w:val="clear" w:color="FFFFFF" w:fill="FFFFFF"/>
      <w:spacing w:before="640" w:after="560"/>
      <w:jc w:val="center"/>
      <w:outlineLvl w:val="0"/>
    </w:pPr>
    <w:rPr>
      <w:rFonts w:ascii="黑体" w:eastAsia="黑体"/>
      <w:sz w:val="32"/>
    </w:rPr>
  </w:style>
  <w:style w:type="paragraph" w:customStyle="1" w:styleId="affb">
    <w:name w:val="标准书眉_奇数页"/>
    <w:next w:val="ac"/>
    <w:uiPriority w:val="99"/>
    <w:qFormat/>
    <w:pPr>
      <w:tabs>
        <w:tab w:val="center" w:pos="4154"/>
        <w:tab w:val="right" w:pos="8306"/>
      </w:tabs>
      <w:spacing w:after="220"/>
      <w:jc w:val="right"/>
    </w:pPr>
    <w:rPr>
      <w:rFonts w:ascii="黑体" w:eastAsia="黑体"/>
      <w:sz w:val="21"/>
      <w:szCs w:val="21"/>
    </w:rPr>
  </w:style>
  <w:style w:type="paragraph" w:customStyle="1" w:styleId="affc">
    <w:name w:val="标准书脚_奇数页"/>
    <w:uiPriority w:val="99"/>
    <w:qFormat/>
    <w:pPr>
      <w:spacing w:before="120"/>
      <w:ind w:right="198"/>
      <w:jc w:val="right"/>
    </w:pPr>
    <w:rPr>
      <w:rFonts w:ascii="宋体"/>
      <w:sz w:val="18"/>
      <w:szCs w:val="18"/>
    </w:rPr>
  </w:style>
  <w:style w:type="paragraph" w:customStyle="1" w:styleId="p0">
    <w:name w:val="p0"/>
    <w:basedOn w:val="ac"/>
    <w:qFormat/>
    <w:pPr>
      <w:widowControl/>
    </w:pPr>
    <w:rPr>
      <w:kern w:val="0"/>
      <w:sz w:val="32"/>
      <w:szCs w:val="32"/>
    </w:rPr>
  </w:style>
  <w:style w:type="paragraph" w:customStyle="1" w:styleId="WPSOffice1">
    <w:name w:val="WPSOffice手动目录 1"/>
    <w:qFormat/>
  </w:style>
  <w:style w:type="paragraph" w:customStyle="1" w:styleId="WPSOffice2">
    <w:name w:val="WPSOffice手动目录 2"/>
    <w:qFormat/>
    <w:pPr>
      <w:ind w:leftChars="200" w:left="200"/>
    </w:pPr>
  </w:style>
  <w:style w:type="paragraph" w:customStyle="1" w:styleId="affd">
    <w:name w:val="目次、标准名称标题"/>
    <w:basedOn w:val="ac"/>
    <w:next w:val="aff8"/>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0">
    <w:name w:val="章标题"/>
    <w:next w:val="aff8"/>
    <w:qFormat/>
    <w:pPr>
      <w:numPr>
        <w:numId w:val="1"/>
      </w:numPr>
      <w:spacing w:beforeLines="100" w:afterLines="100"/>
      <w:jc w:val="both"/>
      <w:outlineLvl w:val="1"/>
    </w:pPr>
    <w:rPr>
      <w:rFonts w:ascii="黑体" w:eastAsia="黑体"/>
      <w:sz w:val="21"/>
    </w:rPr>
  </w:style>
  <w:style w:type="paragraph" w:customStyle="1" w:styleId="affe">
    <w:name w:val="标准文件_段"/>
    <w:link w:val="Char"/>
    <w:qFormat/>
    <w:pPr>
      <w:autoSpaceDE w:val="0"/>
      <w:autoSpaceDN w:val="0"/>
      <w:ind w:firstLineChars="200" w:firstLine="200"/>
      <w:jc w:val="both"/>
    </w:pPr>
    <w:rPr>
      <w:rFonts w:ascii="宋体"/>
      <w:sz w:val="21"/>
    </w:rPr>
  </w:style>
  <w:style w:type="paragraph" w:customStyle="1" w:styleId="a1">
    <w:name w:val="一级条标题"/>
    <w:next w:val="aff8"/>
    <w:qFormat/>
    <w:pPr>
      <w:numPr>
        <w:ilvl w:val="1"/>
        <w:numId w:val="1"/>
      </w:numPr>
      <w:spacing w:beforeLines="50" w:afterLines="50"/>
      <w:outlineLvl w:val="2"/>
    </w:pPr>
    <w:rPr>
      <w:rFonts w:ascii="黑体" w:eastAsia="黑体"/>
      <w:sz w:val="21"/>
      <w:szCs w:val="21"/>
    </w:rPr>
  </w:style>
  <w:style w:type="paragraph" w:customStyle="1" w:styleId="a4">
    <w:name w:val="字母编号列项（一级）"/>
    <w:qFormat/>
    <w:pPr>
      <w:numPr>
        <w:numId w:val="2"/>
      </w:numPr>
      <w:jc w:val="both"/>
    </w:pPr>
    <w:rPr>
      <w:rFonts w:ascii="宋体"/>
      <w:sz w:val="21"/>
    </w:rPr>
  </w:style>
  <w:style w:type="character" w:customStyle="1" w:styleId="CharChar">
    <w:name w:val="段 Char Char"/>
    <w:link w:val="aff8"/>
    <w:qFormat/>
    <w:locked/>
    <w:rPr>
      <w:rFonts w:ascii="宋体" w:eastAsia="宋体" w:hAnsi="Times New Roman" w:cs="Times New Roman"/>
      <w:sz w:val="21"/>
      <w:lang w:val="en-US" w:eastAsia="zh-CN" w:bidi="ar-SA"/>
    </w:rPr>
  </w:style>
  <w:style w:type="paragraph" w:customStyle="1" w:styleId="1">
    <w:name w:val="列出段落1"/>
    <w:basedOn w:val="ac"/>
    <w:uiPriority w:val="99"/>
    <w:unhideWhenUsed/>
    <w:qFormat/>
    <w:pPr>
      <w:ind w:firstLineChars="200" w:firstLine="420"/>
    </w:pPr>
  </w:style>
  <w:style w:type="paragraph" w:customStyle="1" w:styleId="afff">
    <w:name w:val="图表编号"/>
    <w:basedOn w:val="ac"/>
    <w:next w:val="L"/>
    <w:qFormat/>
    <w:pPr>
      <w:jc w:val="center"/>
    </w:pPr>
    <w:rPr>
      <w:rFonts w:eastAsia="黑体"/>
    </w:rPr>
  </w:style>
  <w:style w:type="paragraph" w:customStyle="1" w:styleId="L">
    <w:name w:val="L正文"/>
    <w:basedOn w:val="ac"/>
    <w:qFormat/>
    <w:pPr>
      <w:ind w:firstLineChars="200" w:firstLine="420"/>
    </w:pPr>
    <w:rPr>
      <w:rFonts w:ascii="宋体" w:hAnsi="宋体"/>
    </w:rPr>
  </w:style>
  <w:style w:type="paragraph" w:customStyle="1" w:styleId="a2">
    <w:name w:val="二级条标题"/>
    <w:basedOn w:val="a1"/>
    <w:next w:val="aff8"/>
    <w:qFormat/>
    <w:pPr>
      <w:numPr>
        <w:ilvl w:val="2"/>
      </w:numPr>
      <w:spacing w:before="50" w:after="50"/>
      <w:outlineLvl w:val="3"/>
    </w:pPr>
  </w:style>
  <w:style w:type="paragraph" w:customStyle="1" w:styleId="a3">
    <w:name w:val="三级条标题"/>
    <w:basedOn w:val="a2"/>
    <w:next w:val="aff8"/>
    <w:qFormat/>
    <w:pPr>
      <w:numPr>
        <w:ilvl w:val="3"/>
      </w:numPr>
      <w:outlineLvl w:val="4"/>
    </w:pPr>
  </w:style>
  <w:style w:type="paragraph" w:customStyle="1" w:styleId="afff0">
    <w:name w:val="附录标识"/>
    <w:basedOn w:val="ac"/>
    <w:next w:val="aff8"/>
    <w:qFormat/>
    <w:pPr>
      <w:keepNext/>
      <w:widowControl/>
      <w:shd w:val="clear" w:color="auto" w:fill="FFFFFF"/>
      <w:spacing w:before="640" w:after="280"/>
      <w:jc w:val="center"/>
      <w:outlineLvl w:val="0"/>
    </w:pPr>
    <w:rPr>
      <w:rFonts w:ascii="黑体" w:eastAsia="黑体" w:hAnsi="黑体" w:cs="宋体"/>
      <w:kern w:val="0"/>
    </w:rPr>
  </w:style>
  <w:style w:type="paragraph" w:customStyle="1" w:styleId="afff1">
    <w:name w:val="附录表标题"/>
    <w:basedOn w:val="ac"/>
    <w:next w:val="aff8"/>
    <w:qFormat/>
    <w:pPr>
      <w:spacing w:beforeLines="50" w:afterLines="50"/>
      <w:jc w:val="center"/>
    </w:pPr>
    <w:rPr>
      <w:rFonts w:ascii="黑体" w:eastAsia="黑体" w:hAnsi="黑体" w:cs="宋体"/>
    </w:rPr>
  </w:style>
  <w:style w:type="character" w:customStyle="1" w:styleId="af1">
    <w:name w:val="批注框文本 字符"/>
    <w:basedOn w:val="ad"/>
    <w:link w:val="af0"/>
    <w:qFormat/>
    <w:rPr>
      <w:kern w:val="2"/>
      <w:sz w:val="18"/>
      <w:szCs w:val="18"/>
    </w:rPr>
  </w:style>
  <w:style w:type="table" w:customStyle="1" w:styleId="10">
    <w:name w:val="网格型1"/>
    <w:basedOn w:val="ae"/>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页脚 字符"/>
    <w:basedOn w:val="ad"/>
    <w:link w:val="af2"/>
    <w:uiPriority w:val="99"/>
    <w:qFormat/>
    <w:rPr>
      <w:kern w:val="2"/>
      <w:sz w:val="18"/>
      <w:szCs w:val="24"/>
    </w:rPr>
  </w:style>
  <w:style w:type="paragraph" w:customStyle="1" w:styleId="a">
    <w:name w:val="标准文件_参考文献条目"/>
    <w:qFormat/>
    <w:pPr>
      <w:numPr>
        <w:numId w:val="3"/>
      </w:numPr>
    </w:pPr>
    <w:rPr>
      <w:rFonts w:ascii="宋体"/>
    </w:rPr>
  </w:style>
  <w:style w:type="character" w:customStyle="1" w:styleId="Char">
    <w:name w:val="标准文件_段 Char"/>
    <w:link w:val="affe"/>
    <w:qFormat/>
    <w:rPr>
      <w:rFonts w:ascii="宋体"/>
      <w:sz w:val="21"/>
    </w:rPr>
  </w:style>
  <w:style w:type="paragraph" w:customStyle="1" w:styleId="a8">
    <w:name w:val="标准文件_二级条标题"/>
    <w:next w:val="affe"/>
    <w:qFormat/>
    <w:pPr>
      <w:widowControl w:val="0"/>
      <w:numPr>
        <w:ilvl w:val="3"/>
        <w:numId w:val="4"/>
      </w:numPr>
      <w:spacing w:beforeLines="50" w:afterLines="50"/>
      <w:jc w:val="both"/>
      <w:outlineLvl w:val="2"/>
    </w:pPr>
    <w:rPr>
      <w:rFonts w:ascii="黑体" w:eastAsia="黑体"/>
      <w:sz w:val="21"/>
    </w:rPr>
  </w:style>
  <w:style w:type="paragraph" w:customStyle="1" w:styleId="a9">
    <w:name w:val="标准文件_三级条标题"/>
    <w:basedOn w:val="a8"/>
    <w:next w:val="affe"/>
    <w:qFormat/>
    <w:pPr>
      <w:widowControl/>
      <w:numPr>
        <w:ilvl w:val="4"/>
      </w:numPr>
      <w:outlineLvl w:val="3"/>
    </w:pPr>
  </w:style>
  <w:style w:type="paragraph" w:customStyle="1" w:styleId="aa">
    <w:name w:val="标准文件_四级条标题"/>
    <w:next w:val="affe"/>
    <w:qFormat/>
    <w:pPr>
      <w:widowControl w:val="0"/>
      <w:numPr>
        <w:ilvl w:val="5"/>
        <w:numId w:val="4"/>
      </w:numPr>
      <w:spacing w:beforeLines="50" w:afterLines="50"/>
      <w:jc w:val="both"/>
      <w:outlineLvl w:val="4"/>
    </w:pPr>
    <w:rPr>
      <w:rFonts w:ascii="黑体" w:eastAsia="黑体"/>
      <w:sz w:val="21"/>
    </w:rPr>
  </w:style>
  <w:style w:type="paragraph" w:customStyle="1" w:styleId="ab">
    <w:name w:val="标准文件_五级条标题"/>
    <w:next w:val="affe"/>
    <w:qFormat/>
    <w:pPr>
      <w:widowControl w:val="0"/>
      <w:numPr>
        <w:ilvl w:val="6"/>
        <w:numId w:val="4"/>
      </w:numPr>
      <w:spacing w:beforeLines="50" w:afterLines="50"/>
      <w:jc w:val="both"/>
      <w:outlineLvl w:val="5"/>
    </w:pPr>
    <w:rPr>
      <w:rFonts w:ascii="黑体" w:eastAsia="黑体"/>
      <w:sz w:val="21"/>
    </w:rPr>
  </w:style>
  <w:style w:type="paragraph" w:customStyle="1" w:styleId="a6">
    <w:name w:val="标准文件_章标题"/>
    <w:next w:val="affe"/>
    <w:qFormat/>
    <w:pPr>
      <w:numPr>
        <w:ilvl w:val="1"/>
        <w:numId w:val="4"/>
      </w:numPr>
      <w:spacing w:beforeLines="100" w:afterLines="100"/>
      <w:jc w:val="both"/>
      <w:outlineLvl w:val="0"/>
    </w:pPr>
    <w:rPr>
      <w:rFonts w:ascii="黑体" w:eastAsia="黑体"/>
      <w:sz w:val="21"/>
    </w:rPr>
  </w:style>
  <w:style w:type="paragraph" w:customStyle="1" w:styleId="a7">
    <w:name w:val="标准文件_一级条标题"/>
    <w:basedOn w:val="a6"/>
    <w:next w:val="affe"/>
    <w:qFormat/>
    <w:pPr>
      <w:numPr>
        <w:ilvl w:val="2"/>
      </w:numPr>
      <w:spacing w:beforeLines="50" w:afterLines="50"/>
      <w:ind w:left="0"/>
      <w:outlineLvl w:val="1"/>
    </w:pPr>
  </w:style>
  <w:style w:type="paragraph" w:customStyle="1" w:styleId="a5">
    <w:name w:val="前言标题"/>
    <w:next w:val="ac"/>
    <w:qFormat/>
    <w:pPr>
      <w:numPr>
        <w:numId w:val="4"/>
      </w:numPr>
      <w:shd w:val="clear" w:color="FFFFFF" w:fill="FFFFFF"/>
      <w:spacing w:before="540" w:after="600"/>
      <w:jc w:val="center"/>
      <w:outlineLvl w:val="0"/>
    </w:pPr>
    <w:rPr>
      <w:rFonts w:ascii="黑体" w:eastAsia="黑体"/>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7</Pages>
  <Words>427</Words>
  <Characters>2440</Characters>
  <Application>Microsoft Office Word</Application>
  <DocSecurity>0</DocSecurity>
  <Lines>20</Lines>
  <Paragraphs>5</Paragraphs>
  <ScaleCrop>false</ScaleCrop>
  <Company>HP Inc.</Company>
  <LinksUpToDate>false</LinksUpToDate>
  <CharactersWithSpaces>2862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cp:revision>
  <cp:lastPrinted>2024-11-13T06:23:00Z</cp:lastPrinted>
  <dcterms:created xsi:type="dcterms:W3CDTF">2024-11-26T01:49:00Z</dcterms:created>
  <dcterms:modified xsi:type="dcterms:W3CDTF">2024-11-27T02:25:00Z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commondata">
    <vt:lpwstr>eyJoZGlkIjoiNGRjOGM5NTY0N2UyNThiNWIzNThhYmNlN2JmMjNlNWIifQ==</vt:lpwstr>
  </property>
  <property fmtid="{D5CDD505-2E9C-101B-9397-08002B2CF9AE}" pid="4" name="ICV">
    <vt:lpwstr>835BFA2623C847809BEB62BBCF182C24</vt:lpwstr>
  </property>
</Properties>
</file>