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19981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FCB2A1F">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1B9852E3">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65.080</w:t>
            </w:r>
            <w:r>
              <w:rPr>
                <w:rFonts w:ascii="黑体" w:hAnsi="黑体" w:eastAsia="黑体"/>
                <w:sz w:val="21"/>
                <w:szCs w:val="21"/>
              </w:rPr>
              <w:fldChar w:fldCharType="end"/>
            </w:r>
            <w:bookmarkEnd w:id="0"/>
          </w:p>
        </w:tc>
      </w:tr>
      <w:tr w14:paraId="001CC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913ECC0">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594377BD">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B10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665E775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3A82DFD2">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32</w:t>
            </w:r>
            <w:r>
              <w:rPr>
                <w:rFonts w:hint="eastAsia"/>
              </w:rPr>
              <w:t>07</w:t>
            </w:r>
            <w:r>
              <w:fldChar w:fldCharType="end"/>
            </w:r>
            <w:bookmarkEnd w:id="3"/>
          </w:p>
        </w:tc>
      </w:tr>
    </w:tbl>
    <w:p w14:paraId="38CB25D3">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连云港市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A53AA43">
      <w:pPr>
        <w:pStyle w:val="195"/>
        <w:framePr/>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32</w:t>
      </w:r>
      <w:r>
        <w:rPr>
          <w:rFonts w:hint="eastAsia"/>
          <w:lang w:val="fr-FR"/>
        </w:rPr>
        <w:t>07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fr-FR"/>
        </w:rPr>
        <w:t>2024</w:t>
      </w:r>
      <w:r>
        <w:fldChar w:fldCharType="end"/>
      </w:r>
      <w:bookmarkEnd w:id="7"/>
    </w:p>
    <w:p w14:paraId="72603C38">
      <w:pPr>
        <w:pStyle w:val="196"/>
        <w:framePr/>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3DBC4E6D">
      <w:pPr>
        <w:spacing w:line="240" w:lineRule="auto"/>
        <w:rPr>
          <w:rFonts w:ascii="黑体" w:hAnsi="黑体" w:eastAsia="黑体"/>
          <w:kern w:val="0"/>
          <w:sz w:val="10"/>
          <w:szCs w:val="10"/>
        </w:rPr>
      </w:pPr>
      <w:r>
        <w:rPr>
          <w:rFonts w:ascii="黑体" w:hAnsi="黑体" w:eastAsia="黑体"/>
          <w:kern w:val="0"/>
          <w:sz w:val="10"/>
          <w:szCs w:val="10"/>
        </w:rPr>
        <w:pict>
          <v:line id="直接连接符 73" o:spid="_x0000_s1027" o:spt="20" style="position:absolute;left:0pt;margin-left:70.9pt;margin-top:212.65pt;height:0pt;width:481.9pt;mso-position-horizontal-relative:page;mso-position-vertical-relative:page;z-index:251659264;mso-width-relative:page;mso-height-relative:page;" coordsize="21600,21600" o:allowoverlap="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v:path arrowok="t"/>
            <v:fill focussize="0,0"/>
            <v:stroke/>
            <v:imagedata o:title=""/>
            <o:lock v:ext="edit"/>
          </v:line>
        </w:pict>
      </w:r>
    </w:p>
    <w:p w14:paraId="7487D33C">
      <w:pPr>
        <w:pStyle w:val="50"/>
        <w:framePr w:w="9639" w:h="6976" w:hRule="exact" w:hSpace="0" w:vSpace="0" w:wrap="around" w:hAnchor="page" w:y="6408"/>
        <w:jc w:val="center"/>
        <w:rPr>
          <w:rFonts w:ascii="黑体" w:hAnsi="黑体" w:eastAsia="黑体"/>
          <w:b w:val="0"/>
          <w:bCs w:val="0"/>
          <w:w w:val="100"/>
        </w:rPr>
      </w:pPr>
    </w:p>
    <w:p w14:paraId="4EB31865">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盐碱地改良技术规程</w:t>
      </w:r>
      <w:r>
        <w:fldChar w:fldCharType="end"/>
      </w:r>
      <w:bookmarkEnd w:id="9"/>
    </w:p>
    <w:p w14:paraId="7A10E972">
      <w:pPr>
        <w:framePr w:w="9639" w:h="6974" w:hRule="exact" w:wrap="around" w:vAnchor="page" w:hAnchor="page" w:x="1419" w:y="6408" w:anchorLock="1"/>
        <w:ind w:left="-1418"/>
      </w:pPr>
    </w:p>
    <w:p w14:paraId="6A2A64B2">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Technical code of practice for saline-alkaline land improvement</w:t>
      </w:r>
      <w:r>
        <w:rPr>
          <w:rFonts w:eastAsia="黑体"/>
          <w:szCs w:val="28"/>
        </w:rPr>
        <w:fldChar w:fldCharType="end"/>
      </w:r>
      <w:bookmarkEnd w:id="10"/>
    </w:p>
    <w:p w14:paraId="457FBA2F">
      <w:pPr>
        <w:framePr w:w="9639" w:h="6974" w:hRule="exact" w:wrap="around" w:vAnchor="page" w:hAnchor="page" w:x="1419" w:y="6408" w:anchorLock="1"/>
        <w:spacing w:line="760" w:lineRule="exact"/>
        <w:ind w:left="-1418"/>
      </w:pPr>
    </w:p>
    <w:p w14:paraId="2B7B00ED">
      <w:pPr>
        <w:pStyle w:val="125"/>
        <w:framePr w:w="9639" w:h="6974" w:hRule="exact" w:wrap="around" w:vAnchor="page" w:hAnchor="page" w:x="1419" w:y="6408" w:anchorLock="1"/>
        <w:textAlignment w:val="bottom"/>
        <w:rPr>
          <w:rFonts w:eastAsia="黑体"/>
          <w:szCs w:val="28"/>
        </w:rPr>
      </w:pPr>
    </w:p>
    <w:p w14:paraId="17367C46">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6"/>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15AFE6FB">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2FAA02F">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55A83F4E">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483DE752">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rPr>
        <w:t>2024</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8CC8650">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连云港市市场监督管理局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1B8CA33">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rPr>
        <w:pict>
          <v:line id="直接连接符 5" o:spid="_x0000_s1026" o:spt="20" style="position:absolute;left:0pt;margin-left:70.85pt;margin-top:728.6pt;height:0pt;width:481.9pt;mso-position-horizontal-relative:page;mso-position-vertical-relative:page;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v:path arrowok="t"/>
            <v:fill focussize="0,0"/>
            <v:stroke/>
            <v:imagedata o:title=""/>
            <o:lock v:ext="edit"/>
            <w10:anchorlock/>
          </v:line>
        </w:pict>
      </w:r>
    </w:p>
    <w:p w14:paraId="36EE70D2">
      <w:pPr>
        <w:pStyle w:val="89"/>
        <w:spacing w:after="468"/>
      </w:pPr>
      <w:bookmarkStart w:id="21" w:name="BookMark2"/>
      <w:r>
        <w:rPr>
          <w:spacing w:val="320"/>
        </w:rPr>
        <w:t>前</w:t>
      </w:r>
      <w:r>
        <w:t>言</w:t>
      </w:r>
    </w:p>
    <w:p w14:paraId="3F4720D1">
      <w:pPr>
        <w:pStyle w:val="56"/>
        <w:ind w:firstLine="420"/>
        <w:jc w:val="left"/>
      </w:pPr>
      <w:r>
        <w:rPr>
          <w:rFonts w:hint="eastAsia"/>
        </w:rPr>
        <w:t>本文件按照GB/T 1.1—2020《标准化工作导则  第1部分：标准化文件的结构和起草规则》的规定起草。</w:t>
      </w:r>
    </w:p>
    <w:p w14:paraId="010F6DAB">
      <w:pPr>
        <w:pStyle w:val="56"/>
        <w:ind w:firstLine="420"/>
        <w:jc w:val="left"/>
      </w:pPr>
      <w:r>
        <w:rPr>
          <w:rFonts w:hint="eastAsia"/>
        </w:rPr>
        <w:t>请注意本文件的某些内容可能涉及专利。本文件的发布机构不承担识别专利的责任。</w:t>
      </w:r>
    </w:p>
    <w:p w14:paraId="638C6E87">
      <w:pPr>
        <w:pStyle w:val="56"/>
        <w:ind w:firstLine="420"/>
        <w:jc w:val="left"/>
      </w:pPr>
      <w:r>
        <w:rPr>
          <w:rFonts w:hint="eastAsia"/>
        </w:rPr>
        <w:t>本文件由连云港市农业农村局提出并组织实施与监督。</w:t>
      </w:r>
    </w:p>
    <w:p w14:paraId="72024D8F">
      <w:pPr>
        <w:pStyle w:val="56"/>
        <w:ind w:firstLine="420"/>
        <w:jc w:val="left"/>
      </w:pPr>
      <w:r>
        <w:rPr>
          <w:rFonts w:hint="eastAsia"/>
        </w:rPr>
        <w:t>本文件由连云港市农业标准化技术委员会归口。</w:t>
      </w:r>
    </w:p>
    <w:p w14:paraId="55A09B89">
      <w:pPr>
        <w:pStyle w:val="56"/>
        <w:ind w:firstLine="420"/>
        <w:jc w:val="left"/>
      </w:pPr>
      <w:r>
        <w:rPr>
          <w:rFonts w:hint="eastAsia"/>
        </w:rPr>
        <w:t>本文件起草单位：连云港市耕地质量保护站 、连云港市国有土地储备中心。</w:t>
      </w:r>
    </w:p>
    <w:p w14:paraId="1A49300B">
      <w:pPr>
        <w:pStyle w:val="56"/>
        <w:ind w:firstLine="420"/>
        <w:jc w:val="left"/>
      </w:pPr>
      <w:r>
        <w:rPr>
          <w:rFonts w:hint="eastAsia"/>
        </w:rPr>
        <w:t>本文件主要起草人：陈翠竹、徐恒柱、李娟、倪丹、刘硕、席志远。</w:t>
      </w:r>
    </w:p>
    <w:p w14:paraId="203D0922">
      <w:pPr>
        <w:pStyle w:val="56"/>
        <w:ind w:firstLine="420"/>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p>
    <w:bookmarkEnd w:id="21"/>
    <w:p w14:paraId="57A0B4E8">
      <w:pPr>
        <w:spacing w:line="20" w:lineRule="exact"/>
        <w:jc w:val="center"/>
        <w:rPr>
          <w:rFonts w:ascii="黑体" w:hAnsi="黑体" w:eastAsia="黑体"/>
          <w:sz w:val="32"/>
          <w:szCs w:val="32"/>
        </w:rPr>
      </w:pPr>
      <w:bookmarkStart w:id="22" w:name="BookMark4"/>
    </w:p>
    <w:p w14:paraId="3BE7434B">
      <w:pPr>
        <w:spacing w:line="20" w:lineRule="exact"/>
        <w:jc w:val="center"/>
        <w:rPr>
          <w:rFonts w:ascii="黑体" w:hAnsi="黑体" w:eastAsia="黑体"/>
          <w:sz w:val="32"/>
          <w:szCs w:val="32"/>
        </w:rPr>
      </w:pPr>
    </w:p>
    <w:sdt>
      <w:sdtPr>
        <w:tag w:val="NEW_STAND_NAME"/>
        <w:id w:val="595910757"/>
        <w:lock w:val="sdtLocked"/>
        <w:placeholder>
          <w:docPart w:val="CE3C687D4E014B28BF468C38F0D77A92"/>
        </w:placeholder>
      </w:sdtPr>
      <w:sdtContent>
        <w:p w14:paraId="5385F655">
          <w:pPr>
            <w:pStyle w:val="177"/>
            <w:spacing w:before="3" w:beforeLines="1" w:after="686" w:afterLines="220"/>
          </w:pPr>
          <w:bookmarkStart w:id="23" w:name="NEW_STAND_NAME"/>
          <w:r>
            <w:rPr>
              <w:rFonts w:hint="eastAsia"/>
            </w:rPr>
            <w:t>盐碱地改良技术规程</w:t>
          </w:r>
        </w:p>
      </w:sdtContent>
    </w:sdt>
    <w:bookmarkEnd w:id="23"/>
    <w:p w14:paraId="4931CCFC">
      <w:pPr>
        <w:pStyle w:val="104"/>
        <w:numPr>
          <w:ilvl w:val="0"/>
          <w:numId w:val="0"/>
        </w:numPr>
        <w:spacing w:before="312" w:after="312"/>
        <w:jc w:val="left"/>
      </w:pPr>
      <w:bookmarkStart w:id="24" w:name="_Toc17233325"/>
      <w:bookmarkStart w:id="25" w:name="_Toc26986771"/>
      <w:bookmarkStart w:id="26" w:name="_Toc26718930"/>
      <w:bookmarkStart w:id="27" w:name="_Toc26986530"/>
      <w:bookmarkStart w:id="28" w:name="_Toc24884211"/>
      <w:bookmarkStart w:id="29" w:name="_Toc17233333"/>
      <w:bookmarkStart w:id="30" w:name="_Toc26648465"/>
      <w:bookmarkStart w:id="31" w:name="_Toc24884218"/>
      <w:r>
        <w:rPr>
          <w:rFonts w:hint="eastAsia"/>
        </w:rPr>
        <w:t>1 范围</w:t>
      </w:r>
      <w:bookmarkEnd w:id="24"/>
      <w:bookmarkEnd w:id="25"/>
      <w:bookmarkEnd w:id="26"/>
      <w:bookmarkEnd w:id="27"/>
      <w:bookmarkEnd w:id="28"/>
      <w:bookmarkEnd w:id="29"/>
      <w:bookmarkEnd w:id="30"/>
      <w:bookmarkEnd w:id="31"/>
    </w:p>
    <w:p w14:paraId="4C86581B">
      <w:pPr>
        <w:pStyle w:val="56"/>
        <w:ind w:firstLine="420"/>
        <w:jc w:val="left"/>
        <w:rPr>
          <w:color w:val="000000" w:themeColor="text1"/>
        </w:rPr>
      </w:pPr>
      <w:bookmarkStart w:id="32" w:name="_Toc24884219"/>
      <w:bookmarkStart w:id="33" w:name="_Toc26648466"/>
      <w:bookmarkStart w:id="34" w:name="_Toc24884212"/>
      <w:bookmarkStart w:id="35" w:name="_Toc17233334"/>
      <w:bookmarkStart w:id="36" w:name="_Toc17233326"/>
      <w:r>
        <w:rPr>
          <w:rFonts w:hint="eastAsia"/>
        </w:rPr>
        <w:t>本文件</w:t>
      </w:r>
      <w:r>
        <w:rPr>
          <w:rFonts w:hint="eastAsia"/>
          <w:color w:val="000000" w:themeColor="text1"/>
        </w:rPr>
        <w:t>规定了</w:t>
      </w:r>
      <w:r>
        <w:rPr>
          <w:rFonts w:hint="eastAsia"/>
        </w:rPr>
        <w:t>盐碱地</w:t>
      </w:r>
      <w:r>
        <w:rPr>
          <w:rFonts w:hint="eastAsia"/>
          <w:color w:val="000000" w:themeColor="text1"/>
        </w:rPr>
        <w:t>改良的技术流程、土壤诊断、改良技术、改良效果等要求。</w:t>
      </w:r>
    </w:p>
    <w:p w14:paraId="49B51844">
      <w:pPr>
        <w:pStyle w:val="56"/>
        <w:ind w:firstLine="420"/>
        <w:jc w:val="left"/>
      </w:pPr>
      <w:r>
        <w:rPr>
          <w:rFonts w:hint="eastAsia"/>
        </w:rPr>
        <w:t>本文件适用于0</w:t>
      </w:r>
      <w:r>
        <w:rPr>
          <w:rFonts w:hint="eastAsia"/>
          <w:lang w:val="en-US" w:eastAsia="zh-CN"/>
        </w:rPr>
        <w:t xml:space="preserve"> </w:t>
      </w:r>
      <w:r>
        <w:rPr>
          <w:rFonts w:hint="eastAsia"/>
        </w:rPr>
        <w:t>cm</w:t>
      </w:r>
      <w:r>
        <w:rPr>
          <w:rFonts w:hint="eastAsia" w:hAnsi="宋体"/>
          <w:color w:val="000000" w:themeColor="text1"/>
        </w:rPr>
        <w:t>～</w:t>
      </w:r>
      <w:r>
        <w:rPr>
          <w:rFonts w:hint="eastAsia"/>
        </w:rPr>
        <w:t>20 cm表土层含盐量（以氯化物为主）在1 g/kg</w:t>
      </w:r>
      <w:r>
        <w:rPr>
          <w:rFonts w:hint="eastAsia" w:hAnsi="宋体"/>
          <w:color w:val="000000" w:themeColor="text1"/>
        </w:rPr>
        <w:t>～</w:t>
      </w:r>
      <w:r>
        <w:rPr>
          <w:rFonts w:hint="eastAsia"/>
        </w:rPr>
        <w:t>6 g/kg之间盐碱地及盐荒地的改良。</w:t>
      </w:r>
    </w:p>
    <w:p w14:paraId="6386E4A9">
      <w:pPr>
        <w:pStyle w:val="104"/>
        <w:numPr>
          <w:ilvl w:val="0"/>
          <w:numId w:val="0"/>
        </w:numPr>
        <w:spacing w:before="312" w:after="312"/>
      </w:pPr>
      <w:bookmarkStart w:id="37" w:name="_Toc26986772"/>
      <w:bookmarkStart w:id="38" w:name="_Toc26986531"/>
      <w:bookmarkStart w:id="39" w:name="_Toc26718931"/>
      <w:r>
        <w:rPr>
          <w:rFonts w:hint="eastAsia"/>
        </w:rPr>
        <w:t>2 规范性引用文件</w:t>
      </w:r>
      <w:bookmarkEnd w:id="32"/>
      <w:bookmarkEnd w:id="33"/>
      <w:bookmarkEnd w:id="34"/>
      <w:bookmarkEnd w:id="35"/>
      <w:bookmarkEnd w:id="36"/>
      <w:bookmarkEnd w:id="37"/>
      <w:bookmarkEnd w:id="38"/>
      <w:bookmarkEnd w:id="39"/>
    </w:p>
    <w:sdt>
      <w:sdtPr>
        <w:rPr>
          <w:rFonts w:hint="eastAsia"/>
        </w:rPr>
        <w:id w:val="715848253"/>
        <w:placeholder>
          <w:docPart w:val="2092F4D7FA854611BF05BEA00A159C9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3F292046">
          <w:pPr>
            <w:pStyle w:val="56"/>
            <w:ind w:firstLine="420"/>
            <w:jc w:val="left"/>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250868D">
      <w:pPr>
        <w:pStyle w:val="56"/>
        <w:ind w:firstLine="420"/>
        <w:jc w:val="left"/>
        <w:rPr>
          <w:color w:val="000000" w:themeColor="text1"/>
        </w:rPr>
      </w:pPr>
      <w:r>
        <w:rPr>
          <w:color w:val="000000" w:themeColor="text1"/>
        </w:rPr>
        <w:t xml:space="preserve">GB </w:t>
      </w:r>
      <w:r>
        <w:rPr>
          <w:rFonts w:hint="eastAsia"/>
          <w:color w:val="000000" w:themeColor="text1"/>
        </w:rPr>
        <w:t xml:space="preserve">5084 </w:t>
      </w:r>
      <w:r>
        <w:rPr>
          <w:rFonts w:hint="eastAsia"/>
          <w:color w:val="000000" w:themeColor="text1"/>
          <w:lang w:val="en-US" w:eastAsia="zh-CN"/>
        </w:rPr>
        <w:t xml:space="preserve"> </w:t>
      </w:r>
      <w:r>
        <w:rPr>
          <w:rFonts w:hint="eastAsia"/>
          <w:color w:val="000000" w:themeColor="text1"/>
        </w:rPr>
        <w:t>农田灌溉水质标准</w:t>
      </w:r>
    </w:p>
    <w:p w14:paraId="3CDE0111">
      <w:pPr>
        <w:pStyle w:val="56"/>
        <w:ind w:firstLine="420"/>
        <w:jc w:val="left"/>
        <w:rPr>
          <w:color w:val="000000" w:themeColor="text1"/>
        </w:rPr>
      </w:pPr>
      <w:r>
        <w:rPr>
          <w:rFonts w:hint="eastAsia"/>
          <w:color w:val="000000" w:themeColor="text1"/>
        </w:rPr>
        <w:t>GB 20287</w:t>
      </w:r>
      <w:r>
        <w:rPr>
          <w:rFonts w:hint="eastAsia"/>
          <w:color w:val="000000" w:themeColor="text1"/>
          <w:lang w:val="en-US" w:eastAsia="zh-CN"/>
        </w:rPr>
        <w:t xml:space="preserve"> </w:t>
      </w:r>
      <w:r>
        <w:rPr>
          <w:rFonts w:hint="eastAsia"/>
          <w:color w:val="000000" w:themeColor="text1"/>
        </w:rPr>
        <w:t xml:space="preserve"> 农业微生物菌剂</w:t>
      </w:r>
    </w:p>
    <w:p w14:paraId="36FC510E">
      <w:pPr>
        <w:pStyle w:val="56"/>
        <w:ind w:firstLine="420"/>
        <w:jc w:val="left"/>
        <w:rPr>
          <w:color w:val="000000" w:themeColor="text1"/>
        </w:rPr>
      </w:pPr>
      <w:r>
        <w:rPr>
          <w:rFonts w:hint="eastAsia"/>
          <w:color w:val="000000" w:themeColor="text1"/>
        </w:rPr>
        <w:t xml:space="preserve">GB 50288 </w:t>
      </w:r>
      <w:r>
        <w:rPr>
          <w:rFonts w:hint="eastAsia"/>
          <w:color w:val="000000" w:themeColor="text1"/>
          <w:lang w:val="en-US" w:eastAsia="zh-CN"/>
        </w:rPr>
        <w:t xml:space="preserve"> </w:t>
      </w:r>
      <w:r>
        <w:rPr>
          <w:rFonts w:hint="eastAsia"/>
          <w:color w:val="000000" w:themeColor="text1"/>
        </w:rPr>
        <w:t>灌溉与排水工程设计标准</w:t>
      </w:r>
    </w:p>
    <w:p w14:paraId="16D3DB7F">
      <w:pPr>
        <w:pStyle w:val="56"/>
        <w:ind w:firstLine="420"/>
        <w:jc w:val="left"/>
        <w:rPr>
          <w:color w:val="000000" w:themeColor="text1"/>
        </w:rPr>
      </w:pPr>
      <w:r>
        <w:rPr>
          <w:rFonts w:hint="eastAsia"/>
          <w:color w:val="000000" w:themeColor="text1"/>
        </w:rPr>
        <w:t xml:space="preserve">NY/T 500 </w:t>
      </w:r>
      <w:r>
        <w:rPr>
          <w:rFonts w:hint="eastAsia"/>
          <w:color w:val="000000" w:themeColor="text1"/>
          <w:lang w:val="en-US" w:eastAsia="zh-CN"/>
        </w:rPr>
        <w:t xml:space="preserve"> </w:t>
      </w:r>
      <w:r>
        <w:rPr>
          <w:rFonts w:hint="eastAsia"/>
          <w:color w:val="000000" w:themeColor="text1"/>
        </w:rPr>
        <w:t>秸秆粉碎还田机 作业质量</w:t>
      </w:r>
    </w:p>
    <w:p w14:paraId="1AF7CC60">
      <w:pPr>
        <w:pStyle w:val="56"/>
        <w:ind w:firstLine="420"/>
        <w:jc w:val="left"/>
        <w:rPr>
          <w:color w:val="000000" w:themeColor="text1"/>
        </w:rPr>
      </w:pPr>
      <w:r>
        <w:rPr>
          <w:rFonts w:hint="eastAsia"/>
          <w:color w:val="000000" w:themeColor="text1"/>
        </w:rPr>
        <w:t xml:space="preserve">NY/T 525 </w:t>
      </w:r>
      <w:r>
        <w:rPr>
          <w:rFonts w:hint="eastAsia"/>
          <w:color w:val="000000" w:themeColor="text1"/>
          <w:lang w:val="en-US" w:eastAsia="zh-CN"/>
        </w:rPr>
        <w:t xml:space="preserve"> </w:t>
      </w:r>
      <w:r>
        <w:rPr>
          <w:rFonts w:hint="eastAsia"/>
          <w:color w:val="000000" w:themeColor="text1"/>
        </w:rPr>
        <w:t>有机肥料</w:t>
      </w:r>
    </w:p>
    <w:p w14:paraId="4158FF99">
      <w:pPr>
        <w:pStyle w:val="56"/>
        <w:ind w:firstLine="409" w:firstLineChars="195"/>
        <w:jc w:val="left"/>
        <w:rPr>
          <w:color w:val="000000" w:themeColor="text1"/>
        </w:rPr>
      </w:pPr>
      <w:r>
        <w:rPr>
          <w:rFonts w:hint="eastAsia"/>
          <w:color w:val="000000" w:themeColor="text1"/>
        </w:rPr>
        <w:t xml:space="preserve">NY/T 1121.2 </w:t>
      </w:r>
      <w:r>
        <w:rPr>
          <w:rFonts w:hint="eastAsia"/>
          <w:color w:val="000000" w:themeColor="text1"/>
          <w:lang w:val="en-US" w:eastAsia="zh-CN"/>
        </w:rPr>
        <w:t xml:space="preserve"> </w:t>
      </w:r>
      <w:r>
        <w:rPr>
          <w:rFonts w:hint="eastAsia"/>
          <w:color w:val="000000" w:themeColor="text1"/>
        </w:rPr>
        <w:t>土壤检测第2部分：土壤pH 的测定</w:t>
      </w:r>
    </w:p>
    <w:p w14:paraId="648FC87E">
      <w:pPr>
        <w:pStyle w:val="56"/>
        <w:ind w:firstLine="409" w:firstLineChars="195"/>
        <w:jc w:val="left"/>
        <w:rPr>
          <w:color w:val="000000" w:themeColor="text1"/>
        </w:rPr>
      </w:pPr>
      <w:r>
        <w:rPr>
          <w:rFonts w:hint="eastAsia"/>
          <w:color w:val="000000" w:themeColor="text1"/>
        </w:rPr>
        <w:t xml:space="preserve">NY/T 1121.4 </w:t>
      </w:r>
      <w:r>
        <w:rPr>
          <w:rFonts w:hint="eastAsia"/>
          <w:color w:val="000000" w:themeColor="text1"/>
          <w:lang w:val="en-US" w:eastAsia="zh-CN"/>
        </w:rPr>
        <w:t xml:space="preserve"> </w:t>
      </w:r>
      <w:r>
        <w:rPr>
          <w:rFonts w:hint="eastAsia"/>
          <w:color w:val="000000" w:themeColor="text1"/>
        </w:rPr>
        <w:t>土壤检测第4部分：土壤容重的测定</w:t>
      </w:r>
    </w:p>
    <w:p w14:paraId="3BAFA9A0">
      <w:pPr>
        <w:pStyle w:val="56"/>
        <w:ind w:firstLine="409" w:firstLineChars="195"/>
        <w:jc w:val="left"/>
        <w:rPr>
          <w:color w:val="000000" w:themeColor="text1"/>
        </w:rPr>
      </w:pPr>
      <w:r>
        <w:rPr>
          <w:rFonts w:hint="eastAsia"/>
          <w:color w:val="000000" w:themeColor="text1"/>
        </w:rPr>
        <w:t>NY/T 1121.6</w:t>
      </w:r>
      <w:r>
        <w:rPr>
          <w:rFonts w:hint="eastAsia"/>
          <w:color w:val="000000" w:themeColor="text1"/>
          <w:lang w:val="en-US" w:eastAsia="zh-CN"/>
        </w:rPr>
        <w:t xml:space="preserve"> </w:t>
      </w:r>
      <w:r>
        <w:rPr>
          <w:rFonts w:hint="eastAsia"/>
          <w:color w:val="000000" w:themeColor="text1"/>
        </w:rPr>
        <w:t xml:space="preserve"> 土壤检测第6部分：土壤有机质的测定</w:t>
      </w:r>
    </w:p>
    <w:p w14:paraId="34516A31">
      <w:pPr>
        <w:pStyle w:val="56"/>
        <w:ind w:firstLine="420"/>
        <w:jc w:val="left"/>
        <w:rPr>
          <w:color w:val="000000" w:themeColor="text1"/>
        </w:rPr>
      </w:pPr>
      <w:r>
        <w:rPr>
          <w:rFonts w:hint="eastAsia"/>
          <w:color w:val="000000" w:themeColor="text1"/>
        </w:rPr>
        <w:t xml:space="preserve">NY/T 1121.16 </w:t>
      </w:r>
      <w:r>
        <w:rPr>
          <w:rFonts w:hint="eastAsia"/>
          <w:color w:val="000000" w:themeColor="text1"/>
          <w:lang w:val="en-US" w:eastAsia="zh-CN"/>
        </w:rPr>
        <w:t xml:space="preserve"> </w:t>
      </w:r>
      <w:r>
        <w:rPr>
          <w:rFonts w:hint="eastAsia"/>
          <w:color w:val="000000" w:themeColor="text1"/>
        </w:rPr>
        <w:t>土壤检测第16部分：土壤水溶性盐总量的测定</w:t>
      </w:r>
    </w:p>
    <w:p w14:paraId="5520132B">
      <w:pPr>
        <w:pStyle w:val="56"/>
        <w:ind w:firstLine="420"/>
        <w:jc w:val="left"/>
        <w:rPr>
          <w:color w:val="000000" w:themeColor="text1"/>
        </w:rPr>
      </w:pPr>
      <w:r>
        <w:rPr>
          <w:rFonts w:hint="eastAsia"/>
          <w:color w:val="000000" w:themeColor="text1"/>
        </w:rPr>
        <w:t xml:space="preserve">NY/T 1535 </w:t>
      </w:r>
      <w:r>
        <w:rPr>
          <w:rFonts w:hint="eastAsia"/>
          <w:color w:val="000000" w:themeColor="text1"/>
          <w:lang w:val="en-US" w:eastAsia="zh-CN"/>
        </w:rPr>
        <w:t xml:space="preserve"> </w:t>
      </w:r>
      <w:r>
        <w:rPr>
          <w:rFonts w:hint="eastAsia"/>
          <w:color w:val="000000" w:themeColor="text1"/>
        </w:rPr>
        <w:t>肥料合理使用准则 微生物肥料</w:t>
      </w:r>
    </w:p>
    <w:p w14:paraId="71107F26">
      <w:pPr>
        <w:pStyle w:val="56"/>
        <w:ind w:firstLine="420"/>
        <w:jc w:val="left"/>
        <w:rPr>
          <w:color w:val="000000" w:themeColor="text1"/>
        </w:rPr>
      </w:pPr>
      <w:r>
        <w:rPr>
          <w:rFonts w:hint="eastAsia"/>
          <w:color w:val="000000" w:themeColor="text1"/>
        </w:rPr>
        <w:t xml:space="preserve">NY/T 3034 </w:t>
      </w:r>
      <w:r>
        <w:rPr>
          <w:rFonts w:hint="eastAsia"/>
          <w:color w:val="000000" w:themeColor="text1"/>
          <w:lang w:val="en-US" w:eastAsia="zh-CN"/>
        </w:rPr>
        <w:t xml:space="preserve"> </w:t>
      </w:r>
      <w:r>
        <w:rPr>
          <w:rFonts w:hint="eastAsia"/>
          <w:color w:val="000000" w:themeColor="text1"/>
        </w:rPr>
        <w:t>土壤调理剂 通用要求</w:t>
      </w:r>
    </w:p>
    <w:p w14:paraId="77A7DEAB">
      <w:pPr>
        <w:pStyle w:val="104"/>
        <w:numPr>
          <w:ilvl w:val="0"/>
          <w:numId w:val="0"/>
        </w:numPr>
        <w:spacing w:before="312" w:after="312"/>
        <w:jc w:val="left"/>
      </w:pPr>
      <w:r>
        <w:rPr>
          <w:rFonts w:hint="eastAsia"/>
          <w:szCs w:val="21"/>
        </w:rPr>
        <w:t>3 术语和定义</w:t>
      </w:r>
    </w:p>
    <w:sdt>
      <w:sdtPr>
        <w:id w:val="-1909835108"/>
        <w:placeholder>
          <w:docPart w:val="58437BFAE6204AA2B0A23F96235585D0"/>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24C8EA8">
          <w:pPr>
            <w:pStyle w:val="56"/>
            <w:ind w:firstLine="420"/>
            <w:jc w:val="left"/>
          </w:pPr>
          <w:bookmarkStart w:id="40" w:name="_Toc26986532"/>
          <w:bookmarkEnd w:id="40"/>
          <w:r>
            <w:t>下列术语和定义适用于本文件。</w:t>
          </w:r>
        </w:p>
      </w:sdtContent>
    </w:sdt>
    <w:p w14:paraId="51E677A5">
      <w:pPr>
        <w:pStyle w:val="224"/>
        <w:numPr>
          <w:ilvl w:val="0"/>
          <w:numId w:val="0"/>
        </w:numPr>
        <w:spacing w:before="156" w:beforeLines="50" w:after="156" w:afterLines="50"/>
        <w:jc w:val="left"/>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1</w:t>
      </w:r>
    </w:p>
    <w:p w14:paraId="00E5217E">
      <w:pPr>
        <w:pStyle w:val="56"/>
        <w:ind w:firstLine="420"/>
        <w:jc w:val="left"/>
        <w:rPr>
          <w:rFonts w:ascii="黑体" w:hAnsi="黑体" w:eastAsia="黑体"/>
          <w:color w:val="000000" w:themeColor="text1"/>
        </w:rPr>
      </w:pPr>
      <w:r>
        <w:rPr>
          <w:rFonts w:hint="eastAsia" w:ascii="黑体" w:hAnsi="黑体" w:eastAsia="黑体"/>
          <w:color w:val="000000" w:themeColor="text1"/>
        </w:rPr>
        <w:t>盐碱地 coastal saline-alkali soil</w:t>
      </w:r>
    </w:p>
    <w:p w14:paraId="2F0CB6B3">
      <w:pPr>
        <w:pStyle w:val="56"/>
        <w:ind w:firstLine="409" w:firstLineChars="195"/>
        <w:jc w:val="left"/>
      </w:pPr>
      <w:r>
        <w:rPr>
          <w:rFonts w:hint="eastAsia"/>
        </w:rPr>
        <w:t>地下水位较高，其种植层土壤含盐量超过 0.2%，不利于作物生长的土地。</w:t>
      </w:r>
    </w:p>
    <w:p w14:paraId="789F2654">
      <w:pPr>
        <w:pStyle w:val="224"/>
        <w:numPr>
          <w:ilvl w:val="0"/>
          <w:numId w:val="0"/>
        </w:numPr>
        <w:spacing w:before="156" w:beforeLines="50" w:after="156" w:afterLines="50"/>
        <w:jc w:val="left"/>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2</w:t>
      </w:r>
    </w:p>
    <w:p w14:paraId="2FD38E95">
      <w:pPr>
        <w:pStyle w:val="56"/>
        <w:ind w:firstLine="420"/>
        <w:jc w:val="left"/>
        <w:rPr>
          <w:rFonts w:ascii="黑体" w:hAnsi="黑体" w:eastAsia="黑体"/>
          <w:color w:val="000000" w:themeColor="text1"/>
        </w:rPr>
      </w:pPr>
      <w:r>
        <w:rPr>
          <w:rFonts w:hint="eastAsia" w:ascii="黑体" w:hAnsi="黑体" w:eastAsia="黑体"/>
          <w:color w:val="000000" w:themeColor="text1"/>
        </w:rPr>
        <w:t>轻盐碱地 coastal saline-alkali soil</w:t>
      </w:r>
    </w:p>
    <w:p w14:paraId="7BE6A2D3">
      <w:pPr>
        <w:pStyle w:val="56"/>
        <w:ind w:firstLine="420"/>
        <w:jc w:val="left"/>
      </w:pPr>
      <w:r>
        <w:rPr>
          <w:rFonts w:hint="eastAsia"/>
        </w:rPr>
        <w:t>0 cm</w:t>
      </w:r>
      <w:r>
        <w:rPr>
          <w:rFonts w:hint="eastAsia" w:hAnsi="宋体"/>
          <w:color w:val="000000" w:themeColor="text1"/>
        </w:rPr>
        <w:t>～</w:t>
      </w:r>
      <w:r>
        <w:rPr>
          <w:rFonts w:hint="eastAsia"/>
        </w:rPr>
        <w:t>20 cm表土层含盐量（以氯化物为主）为1 g/kg</w:t>
      </w:r>
      <w:r>
        <w:rPr>
          <w:rFonts w:hint="eastAsia" w:hAnsi="宋体"/>
          <w:color w:val="000000" w:themeColor="text1"/>
        </w:rPr>
        <w:t>～</w:t>
      </w:r>
      <w:r>
        <w:rPr>
          <w:rFonts w:hint="eastAsia"/>
        </w:rPr>
        <w:t>2 g/kg的盐碱地。</w:t>
      </w:r>
    </w:p>
    <w:p w14:paraId="0CFDCA45">
      <w:pPr>
        <w:pStyle w:val="224"/>
        <w:numPr>
          <w:ilvl w:val="0"/>
          <w:numId w:val="0"/>
        </w:numPr>
        <w:spacing w:before="156" w:beforeLines="50" w:after="156" w:afterLines="50"/>
        <w:jc w:val="left"/>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3</w:t>
      </w:r>
    </w:p>
    <w:p w14:paraId="7A2A7AA3">
      <w:pPr>
        <w:pStyle w:val="56"/>
        <w:ind w:firstLine="420"/>
        <w:jc w:val="left"/>
        <w:rPr>
          <w:rFonts w:ascii="黑体" w:hAnsi="黑体" w:eastAsia="黑体"/>
          <w:color w:val="000000" w:themeColor="text1"/>
        </w:rPr>
      </w:pPr>
      <w:r>
        <w:rPr>
          <w:rFonts w:hint="eastAsia" w:ascii="黑体" w:hAnsi="黑体" w:eastAsia="黑体"/>
          <w:color w:val="000000" w:themeColor="text1"/>
        </w:rPr>
        <w:t>中度盐碱地 coastal saline-alkali soil</w:t>
      </w:r>
    </w:p>
    <w:p w14:paraId="48E118B9">
      <w:pPr>
        <w:pStyle w:val="56"/>
        <w:ind w:firstLine="420"/>
        <w:jc w:val="left"/>
      </w:pPr>
      <w:r>
        <w:rPr>
          <w:rFonts w:hint="eastAsia"/>
        </w:rPr>
        <w:t>0 cm</w:t>
      </w:r>
      <w:r>
        <w:rPr>
          <w:rFonts w:hint="eastAsia" w:hAnsi="宋体"/>
          <w:color w:val="000000" w:themeColor="text1"/>
        </w:rPr>
        <w:t>～</w:t>
      </w:r>
      <w:r>
        <w:rPr>
          <w:rFonts w:hint="eastAsia"/>
        </w:rPr>
        <w:t>20 cm表土层含盐量（以氯化物为主）为2 g/kg</w:t>
      </w:r>
      <w:r>
        <w:rPr>
          <w:rFonts w:hint="eastAsia" w:hAnsi="宋体"/>
          <w:color w:val="000000" w:themeColor="text1"/>
        </w:rPr>
        <w:t>～</w:t>
      </w:r>
      <w:r>
        <w:rPr>
          <w:rFonts w:hint="eastAsia"/>
        </w:rPr>
        <w:t>4 g/kg的盐碱地。</w:t>
      </w:r>
    </w:p>
    <w:p w14:paraId="0382309A">
      <w:pPr>
        <w:pStyle w:val="224"/>
        <w:numPr>
          <w:ilvl w:val="0"/>
          <w:numId w:val="0"/>
        </w:numPr>
        <w:spacing w:before="156" w:beforeLines="50" w:after="156" w:afterLines="50"/>
        <w:jc w:val="left"/>
        <w:rPr>
          <w:rFonts w:ascii="黑体" w:hAnsi="黑体" w:eastAsia="黑体"/>
          <w:color w:val="000000" w:themeColor="text1"/>
        </w:rPr>
      </w:pPr>
      <w:r>
        <w:rPr>
          <w:rFonts w:ascii="黑体" w:hAnsi="黑体" w:eastAsia="黑体"/>
          <w:color w:val="000000" w:themeColor="text1"/>
        </w:rPr>
        <w:t>3.</w:t>
      </w:r>
      <w:r>
        <w:rPr>
          <w:rFonts w:hint="eastAsia" w:ascii="黑体" w:hAnsi="黑体" w:eastAsia="黑体"/>
          <w:color w:val="000000" w:themeColor="text1"/>
        </w:rPr>
        <w:t>4</w:t>
      </w:r>
    </w:p>
    <w:p w14:paraId="190446A0">
      <w:pPr>
        <w:pStyle w:val="56"/>
        <w:ind w:firstLine="420"/>
        <w:jc w:val="left"/>
        <w:rPr>
          <w:rFonts w:ascii="黑体" w:hAnsi="黑体" w:eastAsia="黑体"/>
          <w:color w:val="000000" w:themeColor="text1"/>
        </w:rPr>
      </w:pPr>
      <w:r>
        <w:rPr>
          <w:rFonts w:hint="eastAsia" w:ascii="黑体" w:hAnsi="黑体" w:eastAsia="黑体"/>
          <w:color w:val="000000" w:themeColor="text1"/>
        </w:rPr>
        <w:t>重度盐碱地 coastal saline-alkali soil</w:t>
      </w:r>
    </w:p>
    <w:p w14:paraId="3BBD3C05">
      <w:pPr>
        <w:pStyle w:val="56"/>
        <w:ind w:firstLine="420"/>
        <w:jc w:val="left"/>
        <w:rPr>
          <w:color w:val="FF0000"/>
        </w:rPr>
      </w:pPr>
      <w:r>
        <w:rPr>
          <w:rFonts w:hint="eastAsia"/>
        </w:rPr>
        <w:t>0 cm</w:t>
      </w:r>
      <w:r>
        <w:rPr>
          <w:rFonts w:hint="eastAsia" w:hAnsi="宋体"/>
          <w:color w:val="000000" w:themeColor="text1"/>
        </w:rPr>
        <w:t>～</w:t>
      </w:r>
      <w:r>
        <w:rPr>
          <w:rFonts w:hint="eastAsia"/>
        </w:rPr>
        <w:t>20 cm表土层含盐量（以氯化物为主）为4 g/kg</w:t>
      </w:r>
      <w:r>
        <w:rPr>
          <w:rFonts w:hint="eastAsia" w:hAnsi="宋体"/>
          <w:color w:val="000000" w:themeColor="text1"/>
        </w:rPr>
        <w:t>～</w:t>
      </w:r>
      <w:r>
        <w:rPr>
          <w:rFonts w:hint="eastAsia"/>
        </w:rPr>
        <w:t>6 g/kg的盐碱地。</w:t>
      </w:r>
    </w:p>
    <w:p w14:paraId="5F7BEF54">
      <w:pPr>
        <w:pStyle w:val="224"/>
        <w:numPr>
          <w:ilvl w:val="0"/>
          <w:numId w:val="0"/>
        </w:numPr>
        <w:spacing w:before="156" w:beforeLines="50" w:after="156" w:afterLines="50"/>
        <w:jc w:val="left"/>
        <w:rPr>
          <w:rFonts w:ascii="黑体" w:hAnsi="黑体" w:eastAsia="黑体"/>
          <w:color w:val="000000" w:themeColor="text1"/>
        </w:rPr>
      </w:pPr>
      <w:r>
        <w:rPr>
          <w:rFonts w:hint="eastAsia" w:ascii="黑体" w:hAnsi="黑体" w:eastAsia="黑体"/>
          <w:color w:val="000000" w:themeColor="text1"/>
        </w:rPr>
        <w:t>3.5</w:t>
      </w:r>
    </w:p>
    <w:p w14:paraId="69186D83">
      <w:pPr>
        <w:pStyle w:val="224"/>
        <w:numPr>
          <w:ilvl w:val="0"/>
          <w:numId w:val="0"/>
        </w:numPr>
        <w:ind w:firstLine="420" w:firstLineChars="200"/>
        <w:jc w:val="left"/>
        <w:rPr>
          <w:rFonts w:ascii="黑体" w:hAnsi="黑体" w:eastAsia="黑体"/>
          <w:color w:val="000000" w:themeColor="text1"/>
        </w:rPr>
      </w:pPr>
      <w:r>
        <w:rPr>
          <w:rFonts w:hint="eastAsia" w:ascii="黑体" w:hAnsi="黑体" w:eastAsia="黑体"/>
          <w:color w:val="000000" w:themeColor="text1"/>
        </w:rPr>
        <w:t>灌溉洗盐 irrigation wash the salt</w:t>
      </w:r>
    </w:p>
    <w:p w14:paraId="3FF31CAA">
      <w:pPr>
        <w:pStyle w:val="56"/>
        <w:ind w:firstLine="420"/>
        <w:jc w:val="left"/>
        <w:rPr>
          <w:color w:val="000000" w:themeColor="text1"/>
        </w:rPr>
      </w:pPr>
      <w:r>
        <w:rPr>
          <w:rFonts w:hint="eastAsia"/>
          <w:color w:val="000000" w:themeColor="text1"/>
        </w:rPr>
        <w:t>具备管排系统，通过引入淡水灌溉，使得土壤中的盐分溶解，再通过排水沟或者暗管排走的方法。</w:t>
      </w:r>
    </w:p>
    <w:p w14:paraId="0FF0E4EB">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3</w:t>
      </w:r>
      <w:r>
        <w:rPr>
          <w:rFonts w:ascii="黑体" w:hAnsi="黑体" w:eastAsia="黑体"/>
          <w:color w:val="000000" w:themeColor="text1"/>
        </w:rPr>
        <w:t>.</w:t>
      </w:r>
      <w:r>
        <w:rPr>
          <w:rFonts w:hint="eastAsia" w:ascii="黑体" w:hAnsi="黑体" w:eastAsia="黑体"/>
          <w:color w:val="000000" w:themeColor="text1"/>
        </w:rPr>
        <w:t>6</w:t>
      </w:r>
    </w:p>
    <w:p w14:paraId="33863B6B">
      <w:pPr>
        <w:pStyle w:val="56"/>
        <w:ind w:firstLine="420"/>
        <w:jc w:val="left"/>
        <w:rPr>
          <w:rFonts w:ascii="黑体" w:hAnsi="黑体" w:eastAsia="黑体"/>
          <w:color w:val="000000" w:themeColor="text1"/>
        </w:rPr>
      </w:pPr>
      <w:r>
        <w:rPr>
          <w:rFonts w:hint="eastAsia" w:ascii="黑体" w:hAnsi="黑体" w:eastAsia="黑体"/>
          <w:color w:val="000000" w:themeColor="text1"/>
        </w:rPr>
        <w:t>地下水位 underground water table</w:t>
      </w:r>
    </w:p>
    <w:p w14:paraId="2E60EF24">
      <w:pPr>
        <w:pStyle w:val="56"/>
        <w:ind w:firstLine="409" w:firstLineChars="195"/>
        <w:jc w:val="left"/>
        <w:rPr>
          <w:color w:val="000000" w:themeColor="text1"/>
        </w:rPr>
      </w:pPr>
      <w:r>
        <w:rPr>
          <w:rFonts w:hint="eastAsia"/>
          <w:color w:val="000000" w:themeColor="text1"/>
        </w:rPr>
        <w:t>地下含水层中水面的埋藏深度。</w:t>
      </w:r>
    </w:p>
    <w:p w14:paraId="622A8366">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3</w:t>
      </w:r>
      <w:r>
        <w:rPr>
          <w:rFonts w:ascii="黑体" w:hAnsi="黑体" w:eastAsia="黑体"/>
          <w:color w:val="000000" w:themeColor="text1"/>
        </w:rPr>
        <w:t>.</w:t>
      </w:r>
      <w:r>
        <w:rPr>
          <w:rFonts w:hint="eastAsia" w:ascii="黑体" w:hAnsi="黑体" w:eastAsia="黑体"/>
          <w:color w:val="000000" w:themeColor="text1"/>
        </w:rPr>
        <w:t>7</w:t>
      </w:r>
    </w:p>
    <w:p w14:paraId="46A0BFCC">
      <w:pPr>
        <w:pStyle w:val="56"/>
        <w:ind w:firstLine="409" w:firstLineChars="195"/>
        <w:jc w:val="left"/>
        <w:rPr>
          <w:rFonts w:ascii="黑体" w:hAnsi="黑体" w:eastAsia="黑体"/>
          <w:color w:val="000000" w:themeColor="text1"/>
        </w:rPr>
      </w:pPr>
      <w:r>
        <w:rPr>
          <w:rFonts w:hint="eastAsia" w:ascii="黑体" w:hAnsi="黑体" w:eastAsia="黑体"/>
          <w:color w:val="000000" w:themeColor="text1"/>
        </w:rPr>
        <w:t>化学改良 chemical improvement</w:t>
      </w:r>
    </w:p>
    <w:p w14:paraId="7EBB5C22">
      <w:pPr>
        <w:pStyle w:val="56"/>
        <w:ind w:firstLine="409" w:firstLineChars="195"/>
        <w:jc w:val="left"/>
        <w:rPr>
          <w:color w:val="000000" w:themeColor="text1"/>
        </w:rPr>
      </w:pPr>
      <w:r>
        <w:rPr>
          <w:rFonts w:hint="eastAsia"/>
          <w:color w:val="000000" w:themeColor="text1"/>
        </w:rPr>
        <w:t>通过施用化学改良剂降低土壤中有害盐离子，中和土壤碱性，改良土壤的理化性状的土壤改良方法。</w:t>
      </w:r>
    </w:p>
    <w:p w14:paraId="051FC55E">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3</w:t>
      </w:r>
      <w:r>
        <w:rPr>
          <w:rFonts w:ascii="黑体" w:hAnsi="黑体" w:eastAsia="黑体"/>
          <w:color w:val="000000" w:themeColor="text1"/>
        </w:rPr>
        <w:t>.</w:t>
      </w:r>
      <w:r>
        <w:rPr>
          <w:rFonts w:hint="eastAsia" w:ascii="黑体" w:hAnsi="黑体" w:eastAsia="黑体"/>
          <w:color w:val="000000" w:themeColor="text1"/>
        </w:rPr>
        <w:t>8</w:t>
      </w:r>
    </w:p>
    <w:p w14:paraId="5A47B3E2">
      <w:pPr>
        <w:pStyle w:val="56"/>
        <w:ind w:firstLine="409" w:firstLineChars="195"/>
        <w:jc w:val="left"/>
        <w:rPr>
          <w:rFonts w:ascii="黑体" w:hAnsi="黑体" w:eastAsia="黑体"/>
          <w:color w:val="000000" w:themeColor="text1"/>
        </w:rPr>
      </w:pPr>
      <w:r>
        <w:rPr>
          <w:rFonts w:hint="eastAsia" w:ascii="黑体" w:hAnsi="黑体" w:eastAsia="黑体"/>
          <w:color w:val="000000" w:themeColor="text1"/>
        </w:rPr>
        <w:t>返盐 accumulation of salt in the surface soil</w:t>
      </w:r>
    </w:p>
    <w:p w14:paraId="2AE77804">
      <w:pPr>
        <w:pStyle w:val="223"/>
        <w:numPr>
          <w:ilvl w:val="0"/>
          <w:numId w:val="0"/>
        </w:numPr>
        <w:ind w:firstLine="420" w:firstLineChars="200"/>
        <w:jc w:val="left"/>
      </w:pPr>
      <w:r>
        <w:rPr>
          <w:rFonts w:hint="eastAsia"/>
          <w:color w:val="000000" w:themeColor="text1"/>
        </w:rPr>
        <w:t>土壤中的盐分离子随水分蒸发而积聚在土壤表面的现象。</w:t>
      </w:r>
    </w:p>
    <w:p w14:paraId="505FE02E">
      <w:pPr>
        <w:pStyle w:val="104"/>
        <w:numPr>
          <w:ilvl w:val="0"/>
          <w:numId w:val="0"/>
        </w:numPr>
        <w:spacing w:before="312" w:after="312"/>
        <w:jc w:val="left"/>
        <w:rPr>
          <w:rFonts w:hAnsi="黑体" w:cs="黑体"/>
        </w:rPr>
      </w:pPr>
      <w:r>
        <w:rPr>
          <w:rFonts w:hint="eastAsia" w:hAnsi="黑体" w:cs="黑体"/>
        </w:rPr>
        <w:t>4  技术流程</w:t>
      </w:r>
    </w:p>
    <w:p w14:paraId="615276D3">
      <w:pPr>
        <w:pStyle w:val="104"/>
        <w:numPr>
          <w:ilvl w:val="0"/>
          <w:numId w:val="0"/>
        </w:numPr>
        <w:spacing w:beforeLines="0" w:afterLines="0"/>
        <w:jc w:val="left"/>
        <w:rPr>
          <w:rFonts w:ascii="宋体" w:eastAsia="宋体"/>
        </w:rPr>
      </w:pPr>
      <w:r>
        <w:rPr>
          <w:rFonts w:hint="eastAsia" w:hAnsi="黑体" w:cs="黑体"/>
        </w:rPr>
        <w:t xml:space="preserve">4.1  </w:t>
      </w:r>
      <w:r>
        <w:rPr>
          <w:rFonts w:hint="eastAsia" w:ascii="宋体" w:eastAsia="宋体"/>
        </w:rPr>
        <w:t>第一年，增施腐熟农家肥或商品有机肥或微生物菌肥、土壤调理剂后种植耐盐碱饲草作物，在生物量最大时刈割，及时翻耕进行秋灌。</w:t>
      </w:r>
    </w:p>
    <w:p w14:paraId="3673E25C">
      <w:pPr>
        <w:pStyle w:val="104"/>
        <w:numPr>
          <w:ilvl w:val="0"/>
          <w:numId w:val="0"/>
        </w:numPr>
        <w:spacing w:beforeLines="0" w:afterLines="0"/>
        <w:jc w:val="left"/>
        <w:rPr>
          <w:rFonts w:ascii="宋体" w:eastAsia="宋体"/>
        </w:rPr>
      </w:pPr>
      <w:r>
        <w:rPr>
          <w:rFonts w:hint="eastAsia" w:hAnsi="黑体" w:cs="黑体"/>
        </w:rPr>
        <w:t>4.2</w:t>
      </w:r>
      <w:r>
        <w:rPr>
          <w:rFonts w:hint="eastAsia" w:ascii="宋体" w:eastAsia="宋体"/>
        </w:rPr>
        <w:t xml:space="preserve">  第二年，春季增施腐熟农家肥或商品有机肥或微生物菌肥，种植耐盐碱绿肥作物，在生物量最大时及时翻压并秋灌；</w:t>
      </w:r>
    </w:p>
    <w:p w14:paraId="38C822D7">
      <w:pPr>
        <w:pStyle w:val="104"/>
        <w:numPr>
          <w:ilvl w:val="0"/>
          <w:numId w:val="0"/>
        </w:numPr>
        <w:spacing w:beforeLines="0" w:afterLines="0"/>
        <w:jc w:val="left"/>
        <w:rPr>
          <w:rFonts w:ascii="宋体" w:eastAsia="宋体"/>
        </w:rPr>
      </w:pPr>
      <w:r>
        <w:rPr>
          <w:rFonts w:hint="eastAsia" w:hAnsi="黑体" w:cs="黑体"/>
        </w:rPr>
        <w:t>4.3</w:t>
      </w:r>
      <w:r>
        <w:rPr>
          <w:rFonts w:hint="eastAsia" w:ascii="宋体" w:eastAsia="宋体"/>
        </w:rPr>
        <w:t xml:space="preserve">  第三年，春季增施腐熟农家肥或商品有机肥或微生物菌肥，种植耐盐碱作物；秋季秸秆还田并增施腐熟农家肥或商品有机肥；</w:t>
      </w:r>
    </w:p>
    <w:p w14:paraId="0207359F">
      <w:pPr>
        <w:pStyle w:val="104"/>
        <w:numPr>
          <w:ilvl w:val="0"/>
          <w:numId w:val="0"/>
        </w:numPr>
        <w:spacing w:beforeLines="0" w:afterLines="0"/>
        <w:jc w:val="left"/>
        <w:rPr>
          <w:rFonts w:ascii="宋体" w:eastAsia="宋体"/>
        </w:rPr>
      </w:pPr>
      <w:r>
        <w:rPr>
          <w:rFonts w:hint="eastAsia" w:hAnsi="黑体" w:cs="黑体"/>
        </w:rPr>
        <w:t>4.4</w:t>
      </w:r>
      <w:r>
        <w:rPr>
          <w:rFonts w:hint="eastAsia" w:ascii="宋体" w:eastAsia="宋体"/>
        </w:rPr>
        <w:t xml:space="preserve">  第四年，种植禾本科粮食作物，秋季秸秆还田。</w:t>
      </w:r>
    </w:p>
    <w:p w14:paraId="62D30F49">
      <w:pPr>
        <w:pStyle w:val="104"/>
        <w:numPr>
          <w:ilvl w:val="0"/>
          <w:numId w:val="0"/>
        </w:numPr>
        <w:spacing w:before="312" w:after="312"/>
        <w:jc w:val="left"/>
      </w:pPr>
      <w:r>
        <w:rPr>
          <w:rFonts w:hint="eastAsia"/>
        </w:rPr>
        <w:t>5  土壤诊断</w:t>
      </w:r>
    </w:p>
    <w:p w14:paraId="681C9F98">
      <w:pPr>
        <w:pStyle w:val="56"/>
        <w:ind w:firstLine="420"/>
        <w:jc w:val="left"/>
      </w:pPr>
      <w:r>
        <w:rPr>
          <w:rFonts w:hint="eastAsia"/>
        </w:rPr>
        <w:t>在典型区域挖去土壤剖面，采集表层土壤进行土壤盐碱指标(pH、全盐、碱化度)的测定，判断土壤的盐碱化程度。土壤的检测参照</w:t>
      </w:r>
      <w:r>
        <w:rPr>
          <w:rFonts w:hint="eastAsia"/>
          <w:color w:val="000000" w:themeColor="text1"/>
        </w:rPr>
        <w:t>NY/T 1121.2、NY/T 1121.4、NY/T 1121.6、NY/T 1121.16</w:t>
      </w:r>
      <w:r>
        <w:rPr>
          <w:rFonts w:hint="eastAsia"/>
        </w:rPr>
        <w:t>执行。</w:t>
      </w:r>
    </w:p>
    <w:p w14:paraId="75778B59">
      <w:pPr>
        <w:pStyle w:val="104"/>
        <w:numPr>
          <w:ilvl w:val="0"/>
          <w:numId w:val="0"/>
        </w:numPr>
        <w:spacing w:before="312" w:after="312"/>
        <w:jc w:val="left"/>
        <w:rPr>
          <w:color w:val="000000" w:themeColor="text1"/>
        </w:rPr>
      </w:pPr>
      <w:r>
        <w:rPr>
          <w:rFonts w:hint="eastAsia"/>
          <w:color w:val="000000" w:themeColor="text1"/>
        </w:rPr>
        <w:t>6  改良技术</w:t>
      </w:r>
    </w:p>
    <w:p w14:paraId="1C51B380">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.1</w:t>
      </w:r>
      <w:r>
        <w:rPr>
          <w:rFonts w:hint="eastAsia" w:ascii="黑体" w:hAnsi="黑体" w:eastAsia="黑体"/>
          <w:color w:val="000000" w:themeColor="text1"/>
        </w:rPr>
        <w:t xml:space="preserve">  工程改良 </w:t>
      </w:r>
    </w:p>
    <w:p w14:paraId="1C694ABC">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.1.1</w:t>
      </w:r>
      <w:r>
        <w:rPr>
          <w:rFonts w:hint="eastAsia" w:ascii="黑体" w:hAnsi="黑体" w:eastAsia="黑体"/>
          <w:color w:val="000000" w:themeColor="text1"/>
        </w:rPr>
        <w:t xml:space="preserve">  深沟排盐</w:t>
      </w:r>
    </w:p>
    <w:p w14:paraId="4AFCDDDB">
      <w:pPr>
        <w:pStyle w:val="56"/>
        <w:ind w:firstLine="420"/>
        <w:jc w:val="left"/>
        <w:rPr>
          <w:rFonts w:ascii="黑体" w:hAnsi="黑体" w:eastAsia="黑体"/>
          <w:color w:val="000000" w:themeColor="text1"/>
        </w:rPr>
      </w:pPr>
      <w:r>
        <w:rPr>
          <w:rFonts w:hint="eastAsia"/>
          <w:color w:val="000000" w:themeColor="text1"/>
        </w:rPr>
        <w:t>在比较集中连片的盐碱地，据区域地势、降低地下水位、控制返盐、改良盐渍化土壤的要求，设计支沟、斗沟、农沟和毛沟的间距和断面。支沟一般深度3.5 m，斗沟间距400 m，深度3 m，农沟间距150</w:t>
      </w:r>
      <w:r>
        <w:rPr>
          <w:color w:val="000000" w:themeColor="text1"/>
        </w:rPr>
        <w:t xml:space="preserve"> m</w:t>
      </w:r>
      <w:r>
        <w:rPr>
          <w:rFonts w:hint="eastAsia" w:hAnsi="宋体"/>
          <w:color w:val="000000" w:themeColor="text1"/>
        </w:rPr>
        <w:t>～</w:t>
      </w:r>
      <w:r>
        <w:rPr>
          <w:rFonts w:hint="eastAsia"/>
          <w:color w:val="000000" w:themeColor="text1"/>
        </w:rPr>
        <w:t>300 m，沟深2.5 m。</w:t>
      </w:r>
    </w:p>
    <w:p w14:paraId="4B9CC52D">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.1.</w:t>
      </w:r>
      <w:r>
        <w:rPr>
          <w:rFonts w:hint="eastAsia" w:ascii="黑体" w:hAnsi="黑体" w:eastAsia="黑体"/>
          <w:color w:val="000000" w:themeColor="text1"/>
        </w:rPr>
        <w:t xml:space="preserve">2 </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平地挖沟压盐</w:t>
      </w:r>
    </w:p>
    <w:p w14:paraId="469BBDFE">
      <w:pPr>
        <w:pStyle w:val="56"/>
        <w:ind w:firstLine="420"/>
        <w:jc w:val="left"/>
        <w:rPr>
          <w:color w:val="000000" w:themeColor="text1"/>
        </w:rPr>
      </w:pPr>
      <w:r>
        <w:rPr>
          <w:rFonts w:hint="eastAsia"/>
          <w:color w:val="000000" w:themeColor="text1"/>
        </w:rPr>
        <w:t>在地下水位高、面积大的轻度、中度盐碱地，宜在条田内挖2.5</w:t>
      </w:r>
      <w:r>
        <w:rPr>
          <w:color w:val="000000" w:themeColor="text1"/>
        </w:rPr>
        <w:t xml:space="preserve"> m</w:t>
      </w:r>
      <w:r>
        <w:rPr>
          <w:rFonts w:hint="eastAsia"/>
          <w:color w:val="000000" w:themeColor="text1"/>
        </w:rPr>
        <w:t xml:space="preserve"> </w:t>
      </w:r>
      <w:r>
        <w:rPr>
          <w:rFonts w:hint="eastAsia" w:hAnsi="宋体"/>
          <w:color w:val="000000" w:themeColor="text1"/>
        </w:rPr>
        <w:t>～</w:t>
      </w:r>
      <w:r>
        <w:rPr>
          <w:rFonts w:hint="eastAsia"/>
          <w:color w:val="000000" w:themeColor="text1"/>
        </w:rPr>
        <w:t>3.0 m的深沟，与外围主引、排水沟渠相通，做到排、灌结合，条田长度根据具体情况而定。</w:t>
      </w:r>
    </w:p>
    <w:p w14:paraId="7D1BDD9D">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.1.</w:t>
      </w:r>
      <w:r>
        <w:rPr>
          <w:rFonts w:hint="eastAsia" w:ascii="黑体" w:hAnsi="黑体" w:eastAsia="黑体"/>
          <w:color w:val="000000" w:themeColor="text1"/>
        </w:rPr>
        <w:t>3</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 xml:space="preserve"> 平整土地</w:t>
      </w:r>
    </w:p>
    <w:p w14:paraId="49B5D06B">
      <w:pPr>
        <w:pStyle w:val="56"/>
        <w:ind w:firstLine="420"/>
        <w:jc w:val="left"/>
        <w:rPr>
          <w:color w:val="000000" w:themeColor="text1"/>
        </w:rPr>
      </w:pPr>
      <w:r>
        <w:rPr>
          <w:rFonts w:hint="eastAsia"/>
          <w:color w:val="000000" w:themeColor="text1"/>
        </w:rPr>
        <w:t>宜以方田为单位进行，保持土壤耕层厚度25 cm以上，有效土层50 cm以上。如果地面起伏过大，还需打破方田界限，实行大平大整。土地平整宜在秋冬进行，然后进行冬季或早春灌溉洗盐。</w:t>
      </w:r>
    </w:p>
    <w:p w14:paraId="5BD817E3">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w:t>
      </w:r>
      <w:r>
        <w:rPr>
          <w:rFonts w:hint="eastAsia" w:ascii="黑体" w:hAnsi="黑体" w:eastAsia="黑体"/>
          <w:color w:val="000000" w:themeColor="text1"/>
        </w:rPr>
        <w:t>2  农艺改良</w:t>
      </w:r>
    </w:p>
    <w:p w14:paraId="25CA8764">
      <w:pPr>
        <w:pStyle w:val="56"/>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.2.</w:t>
      </w:r>
      <w:r>
        <w:rPr>
          <w:rFonts w:hint="eastAsia" w:ascii="黑体" w:hAnsi="黑体" w:eastAsia="黑体"/>
          <w:color w:val="000000" w:themeColor="text1"/>
        </w:rPr>
        <w:t>1  灌溉洗盐</w:t>
      </w:r>
    </w:p>
    <w:p w14:paraId="4E855CF1">
      <w:pPr>
        <w:pStyle w:val="56"/>
        <w:ind w:firstLine="420"/>
        <w:jc w:val="left"/>
        <w:rPr>
          <w:color w:val="FF0000"/>
        </w:rPr>
      </w:pPr>
      <w:r>
        <w:rPr>
          <w:rFonts w:hint="eastAsia"/>
          <w:color w:val="000000" w:themeColor="text1"/>
        </w:rPr>
        <w:t>待灌排系统布设完成以及每年秋季平整土地后应及时大水漫灌，灌水量为150 m</w:t>
      </w:r>
      <w:r>
        <w:rPr>
          <w:rFonts w:hint="eastAsia"/>
          <w:color w:val="000000" w:themeColor="text1"/>
          <w:vertAlign w:val="superscript"/>
        </w:rPr>
        <w:t>3</w:t>
      </w:r>
      <w:r>
        <w:rPr>
          <w:rFonts w:hint="eastAsia"/>
          <w:color w:val="000000" w:themeColor="text1"/>
        </w:rPr>
        <w:t>/667m</w:t>
      </w:r>
      <w:r>
        <w:rPr>
          <w:rFonts w:hint="eastAsia"/>
          <w:color w:val="000000" w:themeColor="text1"/>
          <w:vertAlign w:val="superscript"/>
        </w:rPr>
        <w:t>2</w:t>
      </w:r>
      <w:r>
        <w:rPr>
          <w:rFonts w:hint="eastAsia"/>
          <w:color w:val="000000" w:themeColor="text1"/>
        </w:rPr>
        <w:t>～300 m</w:t>
      </w:r>
      <w:r>
        <w:rPr>
          <w:rFonts w:hint="eastAsia"/>
          <w:color w:val="000000" w:themeColor="text1"/>
          <w:vertAlign w:val="superscript"/>
        </w:rPr>
        <w:t>3</w:t>
      </w:r>
      <w:r>
        <w:rPr>
          <w:rFonts w:hint="eastAsia"/>
          <w:color w:val="000000" w:themeColor="text1"/>
        </w:rPr>
        <w:t>/667 m</w:t>
      </w:r>
      <w:r>
        <w:rPr>
          <w:rFonts w:hint="eastAsia"/>
          <w:color w:val="000000" w:themeColor="text1"/>
          <w:vertAlign w:val="superscript"/>
        </w:rPr>
        <w:t>2</w:t>
      </w:r>
      <w:r>
        <w:rPr>
          <w:rFonts w:hint="eastAsia"/>
          <w:color w:val="000000" w:themeColor="text1"/>
        </w:rPr>
        <w:t>。农田灌溉水质标准按</w:t>
      </w:r>
      <w:r>
        <w:rPr>
          <w:color w:val="000000" w:themeColor="text1"/>
        </w:rPr>
        <w:t xml:space="preserve">GB </w:t>
      </w:r>
      <w:r>
        <w:rPr>
          <w:rFonts w:hint="eastAsia"/>
          <w:color w:val="000000" w:themeColor="text1"/>
        </w:rPr>
        <w:t>5084的规定执行，灌溉与排水工程设计按GB 50288的规定执行。</w:t>
      </w:r>
    </w:p>
    <w:p w14:paraId="63C062EC">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.2.</w:t>
      </w:r>
      <w:r>
        <w:rPr>
          <w:rFonts w:hint="eastAsia" w:ascii="黑体" w:hAnsi="黑体" w:eastAsia="黑体"/>
          <w:color w:val="000000" w:themeColor="text1"/>
        </w:rPr>
        <w:t>2  耕作措施</w:t>
      </w:r>
    </w:p>
    <w:p w14:paraId="01E006A7">
      <w:pPr>
        <w:pStyle w:val="56"/>
        <w:ind w:firstLine="420"/>
        <w:jc w:val="left"/>
        <w:rPr>
          <w:color w:val="000000" w:themeColor="text1"/>
        </w:rPr>
      </w:pPr>
      <w:r>
        <w:rPr>
          <w:rFonts w:hint="eastAsia"/>
          <w:color w:val="000000" w:themeColor="text1"/>
        </w:rPr>
        <w:t>采取播种前深耕、春季划锄，可有效降低土壤容重，增加渗透性，切断盐分上移的土壤毛细管，阻断盐分在表层积累。</w:t>
      </w:r>
    </w:p>
    <w:p w14:paraId="010A15AC">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.2.</w:t>
      </w:r>
      <w:r>
        <w:rPr>
          <w:rFonts w:hint="eastAsia" w:ascii="黑体" w:hAnsi="黑体" w:eastAsia="黑体"/>
          <w:color w:val="000000" w:themeColor="text1"/>
        </w:rPr>
        <w:t>3  覆盖措施</w:t>
      </w:r>
    </w:p>
    <w:p w14:paraId="46796DCF">
      <w:pPr>
        <w:pStyle w:val="56"/>
        <w:ind w:firstLine="420"/>
        <w:jc w:val="left"/>
        <w:rPr>
          <w:color w:val="000000" w:themeColor="text1"/>
        </w:rPr>
      </w:pPr>
      <w:r>
        <w:rPr>
          <w:rFonts w:hint="eastAsia"/>
          <w:color w:val="000000" w:themeColor="text1"/>
        </w:rPr>
        <w:t>根据实际选用秸秆或地膜覆盖方式。地表覆盖能够减少土壤表层蒸发，抑制返盐。可用于覆盖的秸秆主要有经粉碎的小麦秸秆、棉花秸秆等。</w:t>
      </w:r>
    </w:p>
    <w:p w14:paraId="77BFADAB">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.2.</w:t>
      </w:r>
      <w:r>
        <w:rPr>
          <w:rFonts w:hint="eastAsia" w:ascii="黑体" w:hAnsi="黑体" w:eastAsia="黑体"/>
          <w:color w:val="000000" w:themeColor="text1"/>
        </w:rPr>
        <w:t>4  培肥措施</w:t>
      </w:r>
    </w:p>
    <w:p w14:paraId="49D5E654">
      <w:pPr>
        <w:pStyle w:val="56"/>
        <w:ind w:firstLine="420"/>
        <w:jc w:val="left"/>
        <w:rPr>
          <w:color w:val="000000" w:themeColor="text1"/>
        </w:rPr>
      </w:pPr>
      <w:r>
        <w:rPr>
          <w:rFonts w:hint="eastAsia"/>
          <w:color w:val="000000" w:themeColor="text1"/>
        </w:rPr>
        <w:t>在平整土地和每年春季灌水之前施入腐熟的农家肥2000 kg/667 m</w:t>
      </w:r>
      <w:r>
        <w:rPr>
          <w:rFonts w:hint="eastAsia"/>
          <w:color w:val="000000" w:themeColor="text1"/>
          <w:vertAlign w:val="superscript"/>
        </w:rPr>
        <w:t>2</w:t>
      </w:r>
      <w:r>
        <w:rPr>
          <w:rFonts w:hint="eastAsia"/>
          <w:color w:val="000000" w:themeColor="text1"/>
        </w:rPr>
        <w:t>～4000 kg/667 m</w:t>
      </w:r>
      <w:r>
        <w:rPr>
          <w:rFonts w:hint="eastAsia"/>
          <w:color w:val="000000" w:themeColor="text1"/>
          <w:vertAlign w:val="superscript"/>
        </w:rPr>
        <w:t>2</w:t>
      </w:r>
      <w:r>
        <w:rPr>
          <w:rFonts w:hint="eastAsia"/>
          <w:color w:val="000000" w:themeColor="text1"/>
        </w:rPr>
        <w:t>，或商品有机肥200 kg/667 m</w:t>
      </w:r>
      <w:r>
        <w:rPr>
          <w:rFonts w:hint="eastAsia"/>
          <w:color w:val="000000" w:themeColor="text1"/>
          <w:vertAlign w:val="superscript"/>
        </w:rPr>
        <w:t>2</w:t>
      </w:r>
      <w:r>
        <w:rPr>
          <w:rFonts w:hint="eastAsia"/>
          <w:color w:val="000000" w:themeColor="text1"/>
        </w:rPr>
        <w:t>～450 kg/667 m</w:t>
      </w:r>
      <w:r>
        <w:rPr>
          <w:rFonts w:hint="eastAsia"/>
          <w:color w:val="000000" w:themeColor="text1"/>
          <w:vertAlign w:val="superscript"/>
        </w:rPr>
        <w:t>2</w:t>
      </w:r>
      <w:r>
        <w:rPr>
          <w:rFonts w:hint="eastAsia"/>
          <w:color w:val="000000" w:themeColor="text1"/>
        </w:rPr>
        <w:t>，有机肥料应符合NY/T 525要求。</w:t>
      </w:r>
    </w:p>
    <w:p w14:paraId="3449F861">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w:t>
      </w:r>
      <w:r>
        <w:rPr>
          <w:rFonts w:hint="eastAsia" w:ascii="黑体" w:hAnsi="黑体" w:eastAsia="黑体"/>
          <w:color w:val="000000" w:themeColor="text1"/>
        </w:rPr>
        <w:t>3  生物改良</w:t>
      </w:r>
    </w:p>
    <w:p w14:paraId="46C0842C">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 xml:space="preserve">6.3.1 </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种植耐盐碱饲草</w:t>
      </w:r>
    </w:p>
    <w:p w14:paraId="24F616EC">
      <w:pPr>
        <w:pStyle w:val="56"/>
        <w:ind w:firstLine="420"/>
        <w:jc w:val="left"/>
        <w:rPr>
          <w:color w:val="000000" w:themeColor="text1"/>
        </w:rPr>
      </w:pPr>
      <w:r>
        <w:rPr>
          <w:rFonts w:hint="eastAsia"/>
          <w:color w:val="000000" w:themeColor="text1"/>
        </w:rPr>
        <w:t>中重度盐碱地，第一年宜种植耐盐碱饲草。如：甜高粱、苏丹草、饲料油菜、碱蓬、燕麦等。播种量应高于正常播量的大2倍～3倍，在生物量最大时刈割离田，翻压深度15 cm～20 cm。改良措施见附录A。</w:t>
      </w:r>
    </w:p>
    <w:p w14:paraId="7EDD1D68">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6.3.2  种植耐盐碱绿肥</w:t>
      </w:r>
    </w:p>
    <w:p w14:paraId="7E5DEB01">
      <w:pPr>
        <w:pStyle w:val="56"/>
        <w:ind w:firstLine="420"/>
        <w:jc w:val="left"/>
        <w:rPr>
          <w:color w:val="000000" w:themeColor="text1"/>
        </w:rPr>
      </w:pPr>
      <w:r>
        <w:rPr>
          <w:rFonts w:hint="eastAsia"/>
          <w:color w:val="000000" w:themeColor="text1"/>
        </w:rPr>
        <w:t>中重度盐碱地，第二年宜种植耐盐碱绿肥作物。如：田菁、紫花苜蓿等。播种量应高于正常播量的2倍～3倍，在生物量最大时粉碎直接翻压还田，翻压深度15 cm～20 cm。改良措施见附录A。</w:t>
      </w:r>
    </w:p>
    <w:p w14:paraId="0EC944BD">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 xml:space="preserve">6.3.3 </w:t>
      </w:r>
      <w:r>
        <w:rPr>
          <w:rFonts w:hint="eastAsia" w:ascii="黑体" w:hAnsi="黑体" w:eastAsia="黑体"/>
          <w:color w:val="000000" w:themeColor="text1"/>
          <w:lang w:val="en-US" w:eastAsia="zh-CN"/>
        </w:rPr>
        <w:t xml:space="preserve"> </w:t>
      </w:r>
      <w:r>
        <w:rPr>
          <w:rFonts w:hint="eastAsia" w:ascii="黑体" w:hAnsi="黑体" w:eastAsia="黑体"/>
          <w:color w:val="000000" w:themeColor="text1"/>
        </w:rPr>
        <w:t>种植耐盐碱作物</w:t>
      </w:r>
    </w:p>
    <w:p w14:paraId="06E15633">
      <w:pPr>
        <w:pStyle w:val="56"/>
        <w:ind w:firstLine="420"/>
        <w:jc w:val="left"/>
        <w:rPr>
          <w:rFonts w:ascii="黑体" w:hAnsi="黑体" w:eastAsia="黑体"/>
          <w:color w:val="000000" w:themeColor="text1"/>
        </w:rPr>
      </w:pPr>
      <w:r>
        <w:rPr>
          <w:rFonts w:hint="eastAsia"/>
          <w:color w:val="000000" w:themeColor="text1"/>
        </w:rPr>
        <w:t>在第三年或第四年开始种植耐盐碱作物。如棉花、水稻、大麦、高粱、向日葵等。高粱、大麦等收获后，应结合培肥，深耕翻压，将秸秆全部还田，提高土壤有机质，改善土壤结构，增强土壤保水保肥能力，减少水分蒸发，抑制返盐，加速脱盐。还田质量要求符合NY/T 500的要求。改良措施见附录A。</w:t>
      </w:r>
    </w:p>
    <w:p w14:paraId="19658C1F">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w:t>
      </w:r>
      <w:r>
        <w:rPr>
          <w:rFonts w:hint="eastAsia" w:ascii="黑体" w:hAnsi="黑体" w:eastAsia="黑体"/>
          <w:color w:val="000000" w:themeColor="text1"/>
        </w:rPr>
        <w:t>4  微生物改良</w:t>
      </w:r>
    </w:p>
    <w:p w14:paraId="273944C0">
      <w:pPr>
        <w:pStyle w:val="56"/>
        <w:ind w:firstLine="420"/>
        <w:jc w:val="left"/>
        <w:rPr>
          <w:color w:val="000000" w:themeColor="text1"/>
        </w:rPr>
      </w:pPr>
      <w:r>
        <w:rPr>
          <w:rFonts w:hint="eastAsia"/>
          <w:color w:val="000000" w:themeColor="text1"/>
        </w:rPr>
        <w:t>施用微生物修复菌剂、微生物菌剂、复合微生物肥、生物有机肥等微生物肥料。使用量60 kg/667 m</w:t>
      </w:r>
      <w:r>
        <w:rPr>
          <w:rFonts w:hint="eastAsia"/>
          <w:color w:val="000000" w:themeColor="text1"/>
          <w:vertAlign w:val="superscript"/>
        </w:rPr>
        <w:t>2</w:t>
      </w:r>
      <w:r>
        <w:rPr>
          <w:rFonts w:hint="eastAsia"/>
          <w:color w:val="000000" w:themeColor="text1"/>
        </w:rPr>
        <w:t>～80 kg/667 m</w:t>
      </w:r>
      <w:r>
        <w:rPr>
          <w:rFonts w:hint="eastAsia"/>
          <w:color w:val="000000" w:themeColor="text1"/>
          <w:vertAlign w:val="superscript"/>
        </w:rPr>
        <w:t>2</w:t>
      </w:r>
      <w:r>
        <w:rPr>
          <w:rFonts w:hint="eastAsia"/>
          <w:color w:val="000000" w:themeColor="text1"/>
        </w:rPr>
        <w:t>。农业微生物菌剂、微生物肥料应符合GB 20287、NY/T 1535规定，产品应经过农业农村部登记。</w:t>
      </w:r>
    </w:p>
    <w:p w14:paraId="30C54374">
      <w:pPr>
        <w:pStyle w:val="56"/>
        <w:spacing w:before="156" w:beforeLines="50" w:after="156" w:afterLines="50"/>
        <w:ind w:firstLine="0" w:firstLineChars="0"/>
        <w:jc w:val="left"/>
        <w:rPr>
          <w:rFonts w:ascii="黑体" w:hAnsi="黑体" w:eastAsia="黑体"/>
          <w:color w:val="000000" w:themeColor="text1"/>
        </w:rPr>
      </w:pPr>
      <w:r>
        <w:rPr>
          <w:rFonts w:hint="eastAsia" w:ascii="黑体" w:hAnsi="黑体" w:eastAsia="黑体"/>
          <w:color w:val="000000" w:themeColor="text1"/>
        </w:rPr>
        <w:t>6</w:t>
      </w:r>
      <w:r>
        <w:rPr>
          <w:rFonts w:ascii="黑体" w:hAnsi="黑体" w:eastAsia="黑体"/>
          <w:color w:val="000000" w:themeColor="text1"/>
        </w:rPr>
        <w:t>.</w:t>
      </w:r>
      <w:r>
        <w:rPr>
          <w:rFonts w:hint="eastAsia" w:ascii="黑体" w:hAnsi="黑体" w:eastAsia="黑体"/>
          <w:color w:val="000000" w:themeColor="text1"/>
        </w:rPr>
        <w:t>5  化学改良</w:t>
      </w:r>
    </w:p>
    <w:p w14:paraId="4A855297">
      <w:pPr>
        <w:pStyle w:val="56"/>
        <w:ind w:firstLine="420"/>
        <w:jc w:val="left"/>
        <w:rPr>
          <w:color w:val="000000" w:themeColor="text1"/>
        </w:rPr>
      </w:pPr>
      <w:r>
        <w:rPr>
          <w:rFonts w:hint="eastAsia"/>
          <w:color w:val="000000" w:themeColor="text1"/>
        </w:rPr>
        <w:t>施用增施土壤调理剂，改善土壤结构，置换土壤钠离子，中和土壤碱性，减轻盐分危害，促进盐分淋洗。土壤调理剂应符合NY/T 3034规定。盐碱地的化学改良措施见附录B。</w:t>
      </w:r>
    </w:p>
    <w:p w14:paraId="0CA1D6C3">
      <w:pPr>
        <w:widowControl/>
        <w:autoSpaceDE w:val="0"/>
        <w:autoSpaceDN w:val="0"/>
        <w:adjustRightInd/>
        <w:spacing w:before="312" w:beforeLines="100" w:after="312" w:afterLines="100" w:line="240" w:lineRule="auto"/>
        <w:jc w:val="left"/>
        <w:rPr>
          <w:rFonts w:ascii="黑体" w:hAnsi="Times New Roman" w:eastAsia="黑体"/>
          <w:kern w:val="0"/>
          <w:szCs w:val="20"/>
        </w:rPr>
      </w:pPr>
      <w:r>
        <w:rPr>
          <w:rFonts w:hint="eastAsia" w:ascii="黑体" w:hAnsi="Times New Roman" w:eastAsia="黑体"/>
          <w:kern w:val="0"/>
          <w:szCs w:val="20"/>
        </w:rPr>
        <w:t>7  改良效果</w:t>
      </w:r>
    </w:p>
    <w:p w14:paraId="72AB80C2">
      <w:pPr>
        <w:pStyle w:val="56"/>
        <w:ind w:firstLine="420"/>
        <w:jc w:val="left"/>
        <w:rPr>
          <w:rFonts w:ascii="Calibri" w:hAnsi="Calibri"/>
          <w:kern w:val="2"/>
          <w:szCs w:val="21"/>
        </w:rPr>
      </w:pPr>
      <w:r>
        <w:rPr>
          <w:rFonts w:hint="eastAsia" w:hAnsi="宋体" w:cs="宋体"/>
          <w:kern w:val="2"/>
          <w:szCs w:val="21"/>
        </w:rPr>
        <w:t>轻度盐碱地作物产量能够达到区域正常耕地产量的80%，中度盐碱地作物产量能够达到区域正常耕地产量的65%，重度盐碱地作物产量能够达到区域正常耕地产量的50%。</w:t>
      </w:r>
    </w:p>
    <w:p w14:paraId="713CB40E">
      <w:pPr>
        <w:pStyle w:val="56"/>
        <w:ind w:firstLine="420"/>
        <w:jc w:val="left"/>
        <w:rPr>
          <w:rFonts w:ascii="Calibri" w:hAnsi="Calibri"/>
          <w:kern w:val="2"/>
          <w:szCs w:val="21"/>
        </w:rPr>
      </w:pPr>
    </w:p>
    <w:p w14:paraId="66DBE39E">
      <w:pPr>
        <w:pStyle w:val="56"/>
        <w:ind w:firstLine="420"/>
        <w:jc w:val="left"/>
        <w:rPr>
          <w:rFonts w:ascii="Calibri" w:hAnsi="Calibri"/>
          <w:kern w:val="2"/>
          <w:szCs w:val="21"/>
        </w:rPr>
      </w:pPr>
    </w:p>
    <w:p w14:paraId="0EDB3FE2">
      <w:pPr>
        <w:pStyle w:val="56"/>
        <w:ind w:firstLine="420"/>
        <w:jc w:val="left"/>
        <w:rPr>
          <w:rFonts w:ascii="Calibri" w:hAnsi="Calibri"/>
          <w:kern w:val="2"/>
          <w:szCs w:val="21"/>
        </w:rPr>
      </w:pPr>
    </w:p>
    <w:p w14:paraId="555A5EF9">
      <w:pPr>
        <w:pStyle w:val="56"/>
        <w:ind w:firstLine="420"/>
        <w:jc w:val="left"/>
        <w:rPr>
          <w:rFonts w:ascii="Calibri" w:hAnsi="Calibri"/>
          <w:kern w:val="2"/>
          <w:szCs w:val="21"/>
        </w:rPr>
      </w:pPr>
    </w:p>
    <w:p w14:paraId="159B6162">
      <w:pPr>
        <w:pStyle w:val="56"/>
        <w:ind w:firstLine="420"/>
        <w:jc w:val="left"/>
        <w:rPr>
          <w:rFonts w:ascii="Calibri" w:hAnsi="Calibri"/>
          <w:kern w:val="2"/>
          <w:szCs w:val="21"/>
        </w:rPr>
      </w:pPr>
    </w:p>
    <w:p w14:paraId="1A32662F">
      <w:pPr>
        <w:pStyle w:val="56"/>
        <w:ind w:firstLine="420"/>
        <w:jc w:val="left"/>
        <w:rPr>
          <w:rFonts w:ascii="Calibri" w:hAnsi="Calibri"/>
          <w:kern w:val="2"/>
          <w:szCs w:val="21"/>
        </w:rPr>
      </w:pPr>
    </w:p>
    <w:p w14:paraId="52D6398F">
      <w:pPr>
        <w:pStyle w:val="56"/>
        <w:ind w:firstLine="420"/>
        <w:jc w:val="left"/>
        <w:rPr>
          <w:rFonts w:ascii="Calibri" w:hAnsi="Calibri"/>
          <w:kern w:val="2"/>
          <w:szCs w:val="21"/>
        </w:rPr>
      </w:pPr>
    </w:p>
    <w:p w14:paraId="2BD9C216">
      <w:pPr>
        <w:pStyle w:val="56"/>
        <w:ind w:firstLine="420"/>
        <w:jc w:val="left"/>
        <w:rPr>
          <w:rFonts w:ascii="Calibri" w:hAnsi="Calibri"/>
          <w:kern w:val="2"/>
          <w:szCs w:val="21"/>
        </w:rPr>
      </w:pPr>
    </w:p>
    <w:p w14:paraId="359ED52C">
      <w:pPr>
        <w:pStyle w:val="56"/>
        <w:ind w:firstLine="420"/>
        <w:jc w:val="left"/>
        <w:rPr>
          <w:rFonts w:ascii="Calibri" w:hAnsi="Calibri"/>
          <w:kern w:val="2"/>
          <w:szCs w:val="21"/>
        </w:rPr>
      </w:pPr>
    </w:p>
    <w:p w14:paraId="28520B04">
      <w:pPr>
        <w:pStyle w:val="56"/>
        <w:ind w:firstLine="420"/>
        <w:jc w:val="left"/>
        <w:rPr>
          <w:rFonts w:ascii="Calibri" w:hAnsi="Calibri"/>
          <w:kern w:val="2"/>
          <w:szCs w:val="21"/>
        </w:rPr>
      </w:pPr>
    </w:p>
    <w:p w14:paraId="4DBE45C6">
      <w:pPr>
        <w:pStyle w:val="56"/>
        <w:ind w:firstLine="420"/>
        <w:jc w:val="left"/>
        <w:rPr>
          <w:rFonts w:ascii="Calibri" w:hAnsi="Calibri"/>
          <w:kern w:val="2"/>
          <w:szCs w:val="21"/>
        </w:rPr>
      </w:pPr>
    </w:p>
    <w:p w14:paraId="0D84A6CD">
      <w:pPr>
        <w:pStyle w:val="56"/>
        <w:ind w:firstLine="420"/>
        <w:jc w:val="left"/>
        <w:rPr>
          <w:rFonts w:ascii="Calibri" w:hAnsi="Calibri"/>
          <w:kern w:val="2"/>
          <w:szCs w:val="21"/>
        </w:rPr>
      </w:pPr>
    </w:p>
    <w:p w14:paraId="230026E8">
      <w:pPr>
        <w:pStyle w:val="56"/>
        <w:ind w:firstLine="420"/>
        <w:jc w:val="left"/>
        <w:rPr>
          <w:rFonts w:ascii="Calibri" w:hAnsi="Calibri"/>
          <w:kern w:val="2"/>
          <w:szCs w:val="21"/>
        </w:rPr>
      </w:pPr>
    </w:p>
    <w:p w14:paraId="282D5925">
      <w:pPr>
        <w:pStyle w:val="56"/>
        <w:ind w:firstLine="420"/>
        <w:jc w:val="left"/>
        <w:rPr>
          <w:rFonts w:ascii="Calibri" w:hAnsi="Calibri"/>
          <w:kern w:val="2"/>
          <w:szCs w:val="21"/>
        </w:rPr>
      </w:pPr>
    </w:p>
    <w:p w14:paraId="4D9740D4">
      <w:pPr>
        <w:pStyle w:val="56"/>
        <w:ind w:firstLine="420"/>
        <w:jc w:val="left"/>
        <w:rPr>
          <w:rFonts w:ascii="Calibri" w:hAnsi="Calibri"/>
          <w:kern w:val="2"/>
          <w:szCs w:val="21"/>
        </w:rPr>
      </w:pPr>
    </w:p>
    <w:p w14:paraId="78FD2AE9">
      <w:pPr>
        <w:pStyle w:val="56"/>
        <w:ind w:firstLine="420"/>
        <w:jc w:val="left"/>
        <w:rPr>
          <w:rFonts w:ascii="Calibri" w:hAnsi="Calibri"/>
          <w:kern w:val="2"/>
          <w:szCs w:val="21"/>
        </w:rPr>
      </w:pPr>
    </w:p>
    <w:p w14:paraId="348F1324">
      <w:pPr>
        <w:pStyle w:val="56"/>
        <w:ind w:firstLine="420"/>
        <w:jc w:val="left"/>
        <w:rPr>
          <w:rFonts w:ascii="Calibri" w:hAnsi="Calibri"/>
          <w:kern w:val="2"/>
          <w:szCs w:val="21"/>
        </w:rPr>
      </w:pPr>
    </w:p>
    <w:p w14:paraId="513B85DB">
      <w:pPr>
        <w:pStyle w:val="56"/>
        <w:ind w:firstLine="420"/>
        <w:jc w:val="left"/>
        <w:rPr>
          <w:rFonts w:ascii="Calibri" w:hAnsi="Calibri"/>
          <w:kern w:val="2"/>
          <w:szCs w:val="21"/>
        </w:rPr>
      </w:pPr>
    </w:p>
    <w:p w14:paraId="71244C2B">
      <w:pPr>
        <w:pStyle w:val="56"/>
        <w:ind w:firstLine="420"/>
        <w:jc w:val="left"/>
        <w:rPr>
          <w:rFonts w:ascii="Calibri" w:hAnsi="Calibri"/>
          <w:kern w:val="2"/>
          <w:szCs w:val="21"/>
        </w:rPr>
      </w:pPr>
    </w:p>
    <w:p w14:paraId="581EEAF8">
      <w:pPr>
        <w:pStyle w:val="56"/>
        <w:ind w:firstLine="420"/>
        <w:jc w:val="left"/>
        <w:rPr>
          <w:rFonts w:ascii="Calibri" w:hAnsi="Calibri"/>
          <w:kern w:val="2"/>
          <w:szCs w:val="21"/>
        </w:rPr>
      </w:pPr>
    </w:p>
    <w:p w14:paraId="4ABA6983">
      <w:pPr>
        <w:pStyle w:val="56"/>
        <w:ind w:firstLine="420"/>
        <w:jc w:val="left"/>
        <w:rPr>
          <w:rFonts w:ascii="Calibri" w:hAnsi="Calibri"/>
          <w:kern w:val="2"/>
          <w:szCs w:val="21"/>
        </w:rPr>
      </w:pPr>
    </w:p>
    <w:p w14:paraId="395FA689">
      <w:pPr>
        <w:pStyle w:val="56"/>
        <w:ind w:firstLine="420"/>
        <w:jc w:val="left"/>
        <w:rPr>
          <w:rFonts w:ascii="Calibri" w:hAnsi="Calibri"/>
          <w:kern w:val="2"/>
          <w:szCs w:val="21"/>
        </w:rPr>
      </w:pPr>
    </w:p>
    <w:p w14:paraId="0B3E3428">
      <w:pPr>
        <w:pStyle w:val="56"/>
        <w:ind w:firstLine="420"/>
        <w:jc w:val="left"/>
        <w:rPr>
          <w:rFonts w:ascii="Calibri" w:hAnsi="Calibri"/>
          <w:kern w:val="2"/>
          <w:szCs w:val="21"/>
        </w:rPr>
      </w:pPr>
    </w:p>
    <w:p w14:paraId="280D40B7">
      <w:pPr>
        <w:pStyle w:val="56"/>
        <w:ind w:firstLine="420"/>
        <w:jc w:val="left"/>
        <w:rPr>
          <w:rFonts w:ascii="Calibri" w:hAnsi="Calibri"/>
          <w:kern w:val="2"/>
          <w:szCs w:val="21"/>
        </w:rPr>
      </w:pPr>
    </w:p>
    <w:bookmarkEnd w:id="22"/>
    <w:p w14:paraId="59F3BFF0">
      <w:pPr>
        <w:pStyle w:val="198"/>
        <w:rPr>
          <w:vanish w:val="0"/>
        </w:rPr>
      </w:pPr>
      <w:bookmarkStart w:id="41" w:name="BookMark5"/>
    </w:p>
    <w:p w14:paraId="2B370BEF">
      <w:pPr>
        <w:pStyle w:val="199"/>
        <w:rPr>
          <w:vanish w:val="0"/>
        </w:rPr>
      </w:pPr>
    </w:p>
    <w:p w14:paraId="570F629B">
      <w:pPr>
        <w:pStyle w:val="199"/>
      </w:pPr>
      <w:r>
        <w:t>附</w:t>
      </w:r>
      <w:r>
        <w:rPr>
          <w:rFonts w:hint="eastAsia"/>
        </w:rPr>
        <w:t xml:space="preserve"> </w:t>
      </w:r>
      <w:r>
        <w:t>录</w:t>
      </w:r>
      <w:r>
        <w:rPr>
          <w:rFonts w:hint="eastAsia"/>
        </w:rPr>
        <w:t xml:space="preserve"> A</w:t>
      </w:r>
    </w:p>
    <w:p w14:paraId="4D8664DF">
      <w:pPr>
        <w:pStyle w:val="199"/>
      </w:pPr>
      <w:r>
        <w:rPr>
          <w:rFonts w:hint="eastAsia"/>
        </w:rPr>
        <w:t>（资料性）</w:t>
      </w:r>
    </w:p>
    <w:p w14:paraId="17F3B5E5">
      <w:pPr>
        <w:pStyle w:val="199"/>
      </w:pPr>
      <w:r>
        <w:rPr>
          <w:rFonts w:hint="eastAsia"/>
        </w:rPr>
        <w:t>常用的盐碱地生物改良措施</w:t>
      </w:r>
    </w:p>
    <w:p w14:paraId="5AEC9E39">
      <w:pPr>
        <w:pStyle w:val="199"/>
      </w:pPr>
      <w:r>
        <w:rPr>
          <w:rFonts w:hint="eastAsia"/>
        </w:rPr>
        <w:t>表A</w:t>
      </w:r>
      <w:r>
        <w:t xml:space="preserve">.1 </w:t>
      </w:r>
      <w:r>
        <w:rPr>
          <w:rFonts w:hint="eastAsia"/>
        </w:rPr>
        <w:t>规定了常用的盐碱地生物改良措施</w:t>
      </w:r>
    </w:p>
    <w:p w14:paraId="637DD79A">
      <w:pPr>
        <w:pStyle w:val="199"/>
      </w:pPr>
      <w:r>
        <w:rPr>
          <w:rFonts w:hint="eastAsia"/>
        </w:rPr>
        <w:t>表A.1 常用的盐碱地生物改良措施</w:t>
      </w:r>
    </w:p>
    <w:p w14:paraId="7808A1FE">
      <w:pPr>
        <w:widowControl/>
        <w:shd w:val="clear" w:color="FFFFFF" w:fill="FFFFFF"/>
        <w:tabs>
          <w:tab w:val="left" w:pos="6406"/>
        </w:tabs>
        <w:adjustRightInd/>
        <w:spacing w:line="240" w:lineRule="auto"/>
        <w:jc w:val="center"/>
        <w:outlineLvl w:val="0"/>
        <w:rPr>
          <w:rFonts w:ascii="黑体" w:hAnsi="Times New Roman" w:eastAsia="黑体"/>
          <w:kern w:val="0"/>
          <w:szCs w:val="20"/>
        </w:rPr>
      </w:pPr>
      <w:r>
        <w:rPr>
          <w:rFonts w:ascii="黑体" w:hAnsi="Times New Roman" w:eastAsia="黑体"/>
          <w:kern w:val="0"/>
          <w:szCs w:val="20"/>
        </w:rPr>
        <w:t>附</w:t>
      </w:r>
      <w:r>
        <w:rPr>
          <w:rFonts w:hint="eastAsia" w:ascii="黑体" w:hAnsi="Times New Roman" w:eastAsia="黑体"/>
          <w:kern w:val="0"/>
          <w:szCs w:val="20"/>
        </w:rPr>
        <w:t xml:space="preserve"> </w:t>
      </w:r>
      <w:r>
        <w:rPr>
          <w:rFonts w:hint="eastAsia" w:ascii="黑体" w:hAnsi="Times New Roman" w:eastAsia="黑体"/>
          <w:kern w:val="0"/>
          <w:szCs w:val="20"/>
          <w:lang w:val="en-US" w:eastAsia="zh-CN"/>
        </w:rPr>
        <w:t xml:space="preserve"> </w:t>
      </w:r>
      <w:r>
        <w:rPr>
          <w:rFonts w:ascii="黑体" w:hAnsi="Times New Roman" w:eastAsia="黑体"/>
          <w:kern w:val="0"/>
          <w:szCs w:val="20"/>
        </w:rPr>
        <w:t>录</w:t>
      </w:r>
      <w:r>
        <w:rPr>
          <w:rFonts w:hint="eastAsia" w:ascii="黑体" w:hAnsi="Times New Roman" w:eastAsia="黑体"/>
          <w:kern w:val="0"/>
          <w:szCs w:val="20"/>
        </w:rPr>
        <w:t xml:space="preserve"> </w:t>
      </w:r>
      <w:r>
        <w:rPr>
          <w:rFonts w:hint="eastAsia" w:ascii="黑体" w:hAnsi="Times New Roman" w:eastAsia="黑体"/>
          <w:kern w:val="0"/>
          <w:szCs w:val="20"/>
          <w:lang w:val="en-US" w:eastAsia="zh-CN"/>
        </w:rPr>
        <w:t xml:space="preserve"> </w:t>
      </w:r>
      <w:r>
        <w:rPr>
          <w:rFonts w:hint="eastAsia" w:ascii="黑体" w:hAnsi="Times New Roman" w:eastAsia="黑体"/>
          <w:kern w:val="0"/>
          <w:szCs w:val="20"/>
        </w:rPr>
        <w:t>A</w:t>
      </w:r>
    </w:p>
    <w:p w14:paraId="1257C9B5">
      <w:pPr>
        <w:widowControl/>
        <w:shd w:val="clear" w:color="FFFFFF" w:fill="FFFFFF"/>
        <w:tabs>
          <w:tab w:val="left" w:pos="6406"/>
        </w:tabs>
        <w:adjustRightInd/>
        <w:spacing w:line="240" w:lineRule="auto"/>
        <w:jc w:val="center"/>
        <w:outlineLvl w:val="0"/>
        <w:rPr>
          <w:rFonts w:ascii="黑体" w:hAnsi="Times New Roman" w:eastAsia="黑体"/>
          <w:kern w:val="0"/>
          <w:szCs w:val="20"/>
        </w:rPr>
      </w:pPr>
      <w:r>
        <w:rPr>
          <w:rFonts w:hint="eastAsia" w:ascii="黑体" w:hAnsi="Times New Roman" w:eastAsia="黑体"/>
          <w:kern w:val="0"/>
          <w:szCs w:val="20"/>
        </w:rPr>
        <w:t>（资料性）</w:t>
      </w:r>
      <w:bookmarkStart w:id="43" w:name="_GoBack"/>
      <w:bookmarkEnd w:id="43"/>
    </w:p>
    <w:p w14:paraId="457805CE">
      <w:pPr>
        <w:pStyle w:val="56"/>
        <w:ind w:firstLine="0" w:firstLineChars="0"/>
        <w:jc w:val="center"/>
        <w:rPr>
          <w:rFonts w:ascii="黑体" w:eastAsia="黑体"/>
        </w:rPr>
      </w:pPr>
      <w:r>
        <w:rPr>
          <w:rFonts w:hint="eastAsia" w:ascii="黑体" w:eastAsia="黑体"/>
        </w:rPr>
        <w:t>常用的盐碱地生物改良措施</w:t>
      </w:r>
    </w:p>
    <w:p w14:paraId="2DF0F8C0">
      <w:pPr>
        <w:widowControl/>
        <w:autoSpaceDE w:val="0"/>
        <w:autoSpaceDN w:val="0"/>
        <w:adjustRightInd/>
        <w:spacing w:before="156" w:beforeLines="50" w:after="156" w:afterLines="50" w:line="240" w:lineRule="auto"/>
        <w:ind w:firstLine="420" w:firstLineChars="200"/>
        <w:jc w:val="left"/>
        <w:rPr>
          <w:rFonts w:ascii="宋体" w:hAnsi="Times New Roman"/>
          <w:kern w:val="0"/>
          <w:szCs w:val="20"/>
        </w:rPr>
      </w:pPr>
      <w:r>
        <w:rPr>
          <w:rFonts w:hint="eastAsia" w:ascii="宋体" w:hAnsi="Times New Roman"/>
          <w:kern w:val="0"/>
          <w:szCs w:val="20"/>
        </w:rPr>
        <w:t>表A</w:t>
      </w:r>
      <w:r>
        <w:rPr>
          <w:rFonts w:ascii="宋体" w:hAnsi="Times New Roman"/>
          <w:kern w:val="0"/>
          <w:szCs w:val="20"/>
        </w:rPr>
        <w:t xml:space="preserve">.1 </w:t>
      </w:r>
      <w:r>
        <w:rPr>
          <w:rFonts w:hint="eastAsia" w:ascii="宋体" w:hAnsi="Times New Roman"/>
          <w:kern w:val="0"/>
          <w:szCs w:val="20"/>
        </w:rPr>
        <w:t>规定了常用的盐碱地生物改良措施。</w:t>
      </w:r>
    </w:p>
    <w:p w14:paraId="210371E4">
      <w:pPr>
        <w:pStyle w:val="76"/>
        <w:numPr>
          <w:ilvl w:val="0"/>
          <w:numId w:val="0"/>
        </w:numPr>
        <w:spacing w:before="156" w:beforeLines="50" w:after="156"/>
      </w:pPr>
      <w:r>
        <w:rPr>
          <w:rFonts w:hint="eastAsia"/>
        </w:rPr>
        <w:t>表A.1 常用的盐碱地生物改良措施</w:t>
      </w:r>
    </w:p>
    <w:tbl>
      <w:tblPr>
        <w:tblStyle w:val="27"/>
        <w:tblpPr w:leftFromText="180" w:rightFromText="180" w:vertAnchor="page" w:horzAnchor="margin" w:tblpXSpec="right" w:tblpY="4548"/>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58"/>
        <w:gridCol w:w="2503"/>
        <w:gridCol w:w="2282"/>
        <w:gridCol w:w="2287"/>
      </w:tblGrid>
      <w:tr w14:paraId="256847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58" w:type="dxa"/>
            <w:tcBorders>
              <w:top w:val="single" w:color="auto" w:sz="12" w:space="0"/>
              <w:bottom w:val="single" w:color="auto" w:sz="12" w:space="0"/>
            </w:tcBorders>
            <w:vAlign w:val="center"/>
          </w:tcPr>
          <w:p w14:paraId="408CDC1D">
            <w:pPr>
              <w:widowControl/>
              <w:autoSpaceDE w:val="0"/>
              <w:autoSpaceDN w:val="0"/>
              <w:adjustRightInd/>
              <w:spacing w:line="240" w:lineRule="auto"/>
              <w:jc w:val="center"/>
              <w:rPr>
                <w:rFonts w:ascii="宋体" w:hAnsi="Times New Roman"/>
                <w:color w:val="000000" w:themeColor="text1"/>
                <w:kern w:val="0"/>
                <w:sz w:val="18"/>
                <w:szCs w:val="18"/>
              </w:rPr>
            </w:pPr>
            <w:r>
              <w:rPr>
                <w:rFonts w:hint="eastAsia" w:ascii="宋体" w:hAnsi="Times New Roman"/>
                <w:color w:val="000000" w:themeColor="text1"/>
                <w:kern w:val="0"/>
                <w:sz w:val="18"/>
                <w:szCs w:val="18"/>
              </w:rPr>
              <w:t>措施</w:t>
            </w:r>
          </w:p>
        </w:tc>
        <w:tc>
          <w:tcPr>
            <w:tcW w:w="2503" w:type="dxa"/>
            <w:tcBorders>
              <w:top w:val="single" w:color="auto" w:sz="12" w:space="0"/>
              <w:bottom w:val="single" w:color="auto" w:sz="12" w:space="0"/>
            </w:tcBorders>
            <w:vAlign w:val="center"/>
          </w:tcPr>
          <w:p w14:paraId="0AB8FA85">
            <w:pPr>
              <w:widowControl/>
              <w:autoSpaceDE w:val="0"/>
              <w:autoSpaceDN w:val="0"/>
              <w:adjustRightInd/>
              <w:spacing w:line="240" w:lineRule="auto"/>
              <w:jc w:val="center"/>
              <w:rPr>
                <w:rFonts w:ascii="宋体" w:hAnsi="Times New Roman"/>
                <w:color w:val="000000" w:themeColor="text1"/>
                <w:kern w:val="0"/>
                <w:sz w:val="18"/>
                <w:szCs w:val="18"/>
              </w:rPr>
            </w:pPr>
            <w:r>
              <w:rPr>
                <w:rFonts w:hint="eastAsia" w:ascii="宋体" w:hAnsi="Times New Roman"/>
                <w:color w:val="000000" w:themeColor="text1"/>
                <w:kern w:val="0"/>
                <w:sz w:val="18"/>
                <w:szCs w:val="18"/>
              </w:rPr>
              <w:t>基本原理</w:t>
            </w:r>
          </w:p>
        </w:tc>
        <w:tc>
          <w:tcPr>
            <w:tcW w:w="2282" w:type="dxa"/>
            <w:tcBorders>
              <w:top w:val="single" w:color="auto" w:sz="12" w:space="0"/>
              <w:bottom w:val="single" w:color="auto" w:sz="12" w:space="0"/>
            </w:tcBorders>
            <w:vAlign w:val="center"/>
          </w:tcPr>
          <w:p w14:paraId="4A6DCD5F">
            <w:pPr>
              <w:widowControl/>
              <w:autoSpaceDE w:val="0"/>
              <w:autoSpaceDN w:val="0"/>
              <w:adjustRightInd/>
              <w:spacing w:line="240" w:lineRule="auto"/>
              <w:jc w:val="center"/>
              <w:rPr>
                <w:rFonts w:ascii="宋体" w:hAnsi="Times New Roman"/>
                <w:color w:val="000000" w:themeColor="text1"/>
                <w:kern w:val="0"/>
                <w:sz w:val="18"/>
                <w:szCs w:val="18"/>
              </w:rPr>
            </w:pPr>
            <w:r>
              <w:rPr>
                <w:rFonts w:hint="eastAsia" w:ascii="宋体" w:hAnsi="Times New Roman"/>
                <w:color w:val="000000" w:themeColor="text1"/>
                <w:kern w:val="0"/>
                <w:sz w:val="18"/>
                <w:szCs w:val="18"/>
              </w:rPr>
              <w:t>适用条件</w:t>
            </w:r>
          </w:p>
        </w:tc>
        <w:tc>
          <w:tcPr>
            <w:tcW w:w="2287" w:type="dxa"/>
            <w:tcBorders>
              <w:top w:val="single" w:color="auto" w:sz="12" w:space="0"/>
              <w:bottom w:val="single" w:color="auto" w:sz="12" w:space="0"/>
            </w:tcBorders>
            <w:vAlign w:val="center"/>
          </w:tcPr>
          <w:p w14:paraId="542B2223">
            <w:pPr>
              <w:widowControl/>
              <w:autoSpaceDE w:val="0"/>
              <w:autoSpaceDN w:val="0"/>
              <w:adjustRightInd/>
              <w:spacing w:line="240" w:lineRule="auto"/>
              <w:jc w:val="center"/>
              <w:rPr>
                <w:rFonts w:ascii="宋体" w:hAnsi="Times New Roman"/>
                <w:color w:val="000000" w:themeColor="text1"/>
                <w:kern w:val="0"/>
                <w:sz w:val="18"/>
                <w:szCs w:val="18"/>
              </w:rPr>
            </w:pPr>
            <w:r>
              <w:rPr>
                <w:rFonts w:hint="eastAsia" w:ascii="宋体" w:hAnsi="Times New Roman"/>
                <w:color w:val="000000" w:themeColor="text1"/>
                <w:kern w:val="0"/>
                <w:sz w:val="18"/>
                <w:szCs w:val="18"/>
              </w:rPr>
              <w:t>施工方法</w:t>
            </w:r>
          </w:p>
        </w:tc>
      </w:tr>
      <w:tr w14:paraId="1C3B62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58" w:type="dxa"/>
            <w:tcBorders>
              <w:top w:val="single" w:color="auto" w:sz="12" w:space="0"/>
            </w:tcBorders>
            <w:vAlign w:val="center"/>
          </w:tcPr>
          <w:p w14:paraId="6C4D3BB9">
            <w:pPr>
              <w:widowControl/>
              <w:autoSpaceDE w:val="0"/>
              <w:autoSpaceDN w:val="0"/>
              <w:adjustRightInd/>
              <w:spacing w:line="240" w:lineRule="auto"/>
              <w:ind w:firstLine="90" w:firstLineChars="50"/>
              <w:rPr>
                <w:rFonts w:ascii="宋体" w:hAnsi="Times New Roman"/>
                <w:color w:val="000000" w:themeColor="text1"/>
                <w:kern w:val="0"/>
                <w:sz w:val="18"/>
                <w:szCs w:val="18"/>
              </w:rPr>
            </w:pPr>
            <w:r>
              <w:rPr>
                <w:rFonts w:hint="eastAsia" w:ascii="宋体" w:hAnsi="Times New Roman"/>
                <w:color w:val="000000" w:themeColor="text1"/>
                <w:kern w:val="0"/>
                <w:sz w:val="18"/>
                <w:szCs w:val="18"/>
              </w:rPr>
              <w:t>种植牧草、施用绿肥</w:t>
            </w:r>
          </w:p>
        </w:tc>
        <w:tc>
          <w:tcPr>
            <w:tcW w:w="2503" w:type="dxa"/>
            <w:tcBorders>
              <w:top w:val="single" w:color="auto" w:sz="12" w:space="0"/>
            </w:tcBorders>
            <w:vAlign w:val="center"/>
          </w:tcPr>
          <w:p w14:paraId="394BF42E">
            <w:pPr>
              <w:widowControl/>
              <w:autoSpaceDE w:val="0"/>
              <w:autoSpaceDN w:val="0"/>
              <w:adjustRightInd/>
              <w:spacing w:line="240" w:lineRule="auto"/>
              <w:ind w:firstLine="180" w:firstLineChars="100"/>
              <w:rPr>
                <w:rFonts w:ascii="宋体" w:hAnsi="Times New Roman"/>
                <w:color w:val="000000" w:themeColor="text1"/>
                <w:kern w:val="0"/>
                <w:sz w:val="18"/>
                <w:szCs w:val="18"/>
              </w:rPr>
            </w:pPr>
            <w:r>
              <w:rPr>
                <w:rFonts w:hint="eastAsia" w:ascii="宋体" w:hAnsi="Times New Roman"/>
                <w:color w:val="000000" w:themeColor="text1"/>
                <w:kern w:val="0"/>
                <w:sz w:val="18"/>
                <w:szCs w:val="18"/>
              </w:rPr>
              <w:t>种植豆科等耐盐植物，增加土壤有机质，降低容重，改善团粒结构，增加微生物数量，培肥地力。</w:t>
            </w:r>
          </w:p>
        </w:tc>
        <w:tc>
          <w:tcPr>
            <w:tcW w:w="2282" w:type="dxa"/>
            <w:tcBorders>
              <w:top w:val="single" w:color="auto" w:sz="12" w:space="0"/>
            </w:tcBorders>
            <w:vAlign w:val="center"/>
          </w:tcPr>
          <w:p w14:paraId="2B6211EC">
            <w:pPr>
              <w:widowControl/>
              <w:autoSpaceDE w:val="0"/>
              <w:autoSpaceDN w:val="0"/>
              <w:adjustRightInd/>
              <w:spacing w:line="240" w:lineRule="auto"/>
              <w:ind w:firstLine="90" w:firstLineChars="50"/>
              <w:jc w:val="left"/>
              <w:rPr>
                <w:rFonts w:ascii="宋体" w:hAnsi="Times New Roman"/>
                <w:color w:val="000000" w:themeColor="text1"/>
                <w:kern w:val="0"/>
                <w:sz w:val="18"/>
                <w:szCs w:val="18"/>
              </w:rPr>
            </w:pPr>
            <w:r>
              <w:rPr>
                <w:rFonts w:hint="eastAsia" w:ascii="宋体" w:hAnsi="Times New Roman"/>
                <w:color w:val="000000" w:themeColor="text1"/>
                <w:kern w:val="0"/>
                <w:sz w:val="18"/>
                <w:szCs w:val="18"/>
              </w:rPr>
              <w:t>所有盐碱土</w:t>
            </w:r>
          </w:p>
        </w:tc>
        <w:tc>
          <w:tcPr>
            <w:tcW w:w="2287" w:type="dxa"/>
            <w:tcBorders>
              <w:top w:val="single" w:color="auto" w:sz="12" w:space="0"/>
            </w:tcBorders>
            <w:vAlign w:val="center"/>
          </w:tcPr>
          <w:p w14:paraId="42616177">
            <w:pPr>
              <w:widowControl/>
              <w:autoSpaceDE w:val="0"/>
              <w:autoSpaceDN w:val="0"/>
              <w:adjustRightInd/>
              <w:spacing w:line="240" w:lineRule="auto"/>
              <w:ind w:firstLine="180" w:firstLineChars="100"/>
              <w:rPr>
                <w:rFonts w:ascii="宋体" w:hAnsi="Times New Roman"/>
                <w:color w:val="000000" w:themeColor="text1"/>
                <w:kern w:val="0"/>
                <w:sz w:val="18"/>
                <w:szCs w:val="18"/>
              </w:rPr>
            </w:pPr>
            <w:r>
              <w:rPr>
                <w:rFonts w:hint="eastAsia" w:ascii="宋体" w:hAnsi="Times New Roman"/>
                <w:color w:val="000000" w:themeColor="text1"/>
                <w:kern w:val="0"/>
                <w:sz w:val="18"/>
                <w:szCs w:val="18"/>
              </w:rPr>
              <w:t>绿肥作物多属豆科，多数可兼作饲草。作物长成后，就地翻压或返、堆制肥。</w:t>
            </w:r>
          </w:p>
        </w:tc>
      </w:tr>
      <w:tr w14:paraId="57B808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858" w:type="dxa"/>
            <w:vAlign w:val="center"/>
          </w:tcPr>
          <w:p w14:paraId="2B10657D">
            <w:pPr>
              <w:widowControl/>
              <w:autoSpaceDE w:val="0"/>
              <w:autoSpaceDN w:val="0"/>
              <w:adjustRightInd/>
              <w:spacing w:line="240" w:lineRule="auto"/>
              <w:ind w:firstLine="90" w:firstLineChars="50"/>
              <w:rPr>
                <w:rFonts w:ascii="宋体" w:hAnsi="Times New Roman"/>
                <w:color w:val="000000" w:themeColor="text1"/>
                <w:kern w:val="0"/>
                <w:sz w:val="18"/>
                <w:szCs w:val="18"/>
              </w:rPr>
            </w:pPr>
            <w:r>
              <w:rPr>
                <w:rFonts w:hint="eastAsia" w:ascii="宋体" w:hAnsi="Times New Roman"/>
                <w:color w:val="000000" w:themeColor="text1"/>
                <w:kern w:val="0"/>
                <w:sz w:val="18"/>
                <w:szCs w:val="18"/>
              </w:rPr>
              <w:t>种植耐盐植物</w:t>
            </w:r>
          </w:p>
        </w:tc>
        <w:tc>
          <w:tcPr>
            <w:tcW w:w="2503" w:type="dxa"/>
            <w:vAlign w:val="center"/>
          </w:tcPr>
          <w:p w14:paraId="372394F1">
            <w:pPr>
              <w:widowControl/>
              <w:autoSpaceDE w:val="0"/>
              <w:autoSpaceDN w:val="0"/>
              <w:adjustRightInd/>
              <w:spacing w:line="240" w:lineRule="auto"/>
              <w:ind w:firstLine="180" w:firstLineChars="100"/>
              <w:rPr>
                <w:rFonts w:ascii="宋体" w:hAnsi="Times New Roman"/>
                <w:color w:val="000000" w:themeColor="text1"/>
                <w:kern w:val="0"/>
                <w:sz w:val="18"/>
                <w:szCs w:val="18"/>
              </w:rPr>
            </w:pPr>
            <w:r>
              <w:rPr>
                <w:rFonts w:hint="eastAsia" w:ascii="宋体" w:hAnsi="Times New Roman"/>
                <w:color w:val="000000" w:themeColor="text1"/>
                <w:kern w:val="0"/>
                <w:sz w:val="18"/>
                <w:szCs w:val="18"/>
              </w:rPr>
              <w:t>利用耐盐植物的耐盐性、泌盐性等生理特性吸附土壤中盐分；通过绿化覆盖减少土壤水分蒸发，防止盐分表聚。</w:t>
            </w:r>
          </w:p>
        </w:tc>
        <w:tc>
          <w:tcPr>
            <w:tcW w:w="2282" w:type="dxa"/>
            <w:vAlign w:val="center"/>
          </w:tcPr>
          <w:p w14:paraId="762BE1AD">
            <w:pPr>
              <w:widowControl/>
              <w:autoSpaceDE w:val="0"/>
              <w:autoSpaceDN w:val="0"/>
              <w:adjustRightInd/>
              <w:spacing w:line="240" w:lineRule="auto"/>
              <w:ind w:firstLine="90" w:firstLineChars="50"/>
              <w:rPr>
                <w:rFonts w:ascii="宋体" w:hAnsi="Times New Roman"/>
                <w:color w:val="000000" w:themeColor="text1"/>
                <w:kern w:val="0"/>
                <w:sz w:val="18"/>
                <w:szCs w:val="18"/>
              </w:rPr>
            </w:pPr>
            <w:r>
              <w:rPr>
                <w:rFonts w:hint="eastAsia" w:ascii="宋体" w:hAnsi="Times New Roman"/>
                <w:color w:val="000000" w:themeColor="text1"/>
                <w:kern w:val="0"/>
                <w:sz w:val="18"/>
                <w:szCs w:val="18"/>
              </w:rPr>
              <w:t>所有盐碱土</w:t>
            </w:r>
          </w:p>
        </w:tc>
        <w:tc>
          <w:tcPr>
            <w:tcW w:w="2287" w:type="dxa"/>
            <w:vAlign w:val="center"/>
          </w:tcPr>
          <w:p w14:paraId="54F6FF19">
            <w:pPr>
              <w:widowControl/>
              <w:autoSpaceDE w:val="0"/>
              <w:autoSpaceDN w:val="0"/>
              <w:adjustRightInd/>
              <w:spacing w:line="240" w:lineRule="auto"/>
              <w:ind w:firstLine="180" w:firstLineChars="100"/>
              <w:rPr>
                <w:rFonts w:ascii="宋体" w:hAnsi="Times New Roman"/>
                <w:color w:val="000000" w:themeColor="text1"/>
                <w:kern w:val="0"/>
                <w:sz w:val="18"/>
                <w:szCs w:val="18"/>
              </w:rPr>
            </w:pPr>
            <w:r>
              <w:rPr>
                <w:rFonts w:hint="eastAsia" w:ascii="宋体" w:hAnsi="Times New Roman"/>
                <w:color w:val="000000" w:themeColor="text1"/>
                <w:kern w:val="0"/>
                <w:sz w:val="18"/>
                <w:szCs w:val="18"/>
              </w:rPr>
              <w:t>区域内栽植耐盐碱能力强的植物。</w:t>
            </w:r>
          </w:p>
        </w:tc>
      </w:tr>
    </w:tbl>
    <w:p w14:paraId="247F1925">
      <w:pPr>
        <w:pStyle w:val="56"/>
        <w:ind w:firstLine="420"/>
      </w:pPr>
    </w:p>
    <w:p w14:paraId="29F4553F">
      <w:pPr>
        <w:pStyle w:val="56"/>
        <w:ind w:firstLine="420"/>
      </w:pPr>
    </w:p>
    <w:p w14:paraId="3626A193">
      <w:pPr>
        <w:pStyle w:val="56"/>
        <w:ind w:firstLine="420"/>
      </w:pPr>
    </w:p>
    <w:p w14:paraId="50DAC264">
      <w:pPr>
        <w:pStyle w:val="56"/>
        <w:ind w:firstLine="420"/>
      </w:pPr>
    </w:p>
    <w:p w14:paraId="0124A43B">
      <w:pPr>
        <w:pStyle w:val="56"/>
        <w:ind w:firstLine="420"/>
      </w:pPr>
    </w:p>
    <w:p w14:paraId="2D4D80E2">
      <w:pPr>
        <w:pStyle w:val="56"/>
        <w:ind w:firstLine="420"/>
      </w:pPr>
    </w:p>
    <w:p w14:paraId="2B27B044">
      <w:pPr>
        <w:pStyle w:val="56"/>
        <w:ind w:firstLine="420"/>
      </w:pPr>
    </w:p>
    <w:p w14:paraId="45A6D90A">
      <w:pPr>
        <w:pStyle w:val="56"/>
        <w:ind w:firstLine="420"/>
      </w:pPr>
    </w:p>
    <w:p w14:paraId="7248AA23">
      <w:pPr>
        <w:pStyle w:val="56"/>
        <w:ind w:firstLine="420"/>
      </w:pPr>
    </w:p>
    <w:p w14:paraId="697275DE">
      <w:pPr>
        <w:pStyle w:val="56"/>
        <w:ind w:firstLine="420"/>
      </w:pPr>
    </w:p>
    <w:p w14:paraId="3EC2E1E3">
      <w:pPr>
        <w:pStyle w:val="56"/>
        <w:ind w:firstLine="420"/>
      </w:pPr>
    </w:p>
    <w:p w14:paraId="4C609CCB">
      <w:pPr>
        <w:pStyle w:val="56"/>
        <w:ind w:firstLine="420"/>
      </w:pPr>
    </w:p>
    <w:p w14:paraId="59845DBF">
      <w:pPr>
        <w:pStyle w:val="56"/>
        <w:ind w:firstLine="420"/>
      </w:pPr>
    </w:p>
    <w:p w14:paraId="0FDE9728">
      <w:pPr>
        <w:pStyle w:val="56"/>
        <w:ind w:firstLine="420"/>
      </w:pPr>
    </w:p>
    <w:p w14:paraId="6A7E743A">
      <w:pPr>
        <w:pStyle w:val="56"/>
        <w:ind w:firstLine="420"/>
      </w:pPr>
    </w:p>
    <w:p w14:paraId="38C832A6">
      <w:pPr>
        <w:pStyle w:val="56"/>
        <w:ind w:firstLine="420"/>
      </w:pPr>
    </w:p>
    <w:p w14:paraId="1DF4C30E">
      <w:pPr>
        <w:pStyle w:val="56"/>
        <w:ind w:firstLine="420"/>
      </w:pPr>
    </w:p>
    <w:p w14:paraId="1A6077A3">
      <w:pPr>
        <w:pStyle w:val="56"/>
        <w:ind w:firstLine="420"/>
      </w:pPr>
    </w:p>
    <w:p w14:paraId="3C27A65B">
      <w:pPr>
        <w:pStyle w:val="56"/>
        <w:ind w:firstLine="420"/>
      </w:pPr>
    </w:p>
    <w:p w14:paraId="3BCB4045">
      <w:pPr>
        <w:pStyle w:val="56"/>
        <w:ind w:firstLine="420"/>
      </w:pPr>
    </w:p>
    <w:p w14:paraId="2670AE4F">
      <w:pPr>
        <w:pStyle w:val="56"/>
        <w:ind w:firstLine="420"/>
      </w:pPr>
    </w:p>
    <w:p w14:paraId="46522B77">
      <w:pPr>
        <w:pStyle w:val="56"/>
        <w:ind w:firstLine="420"/>
      </w:pPr>
    </w:p>
    <w:p w14:paraId="6E277826">
      <w:pPr>
        <w:pStyle w:val="56"/>
        <w:ind w:firstLine="420"/>
      </w:pPr>
    </w:p>
    <w:p w14:paraId="165E940E">
      <w:pPr>
        <w:pStyle w:val="56"/>
        <w:ind w:firstLine="420"/>
      </w:pPr>
    </w:p>
    <w:p w14:paraId="17C3D2C8">
      <w:pPr>
        <w:pStyle w:val="56"/>
        <w:ind w:firstLine="420"/>
      </w:pPr>
    </w:p>
    <w:p w14:paraId="093D4C95">
      <w:pPr>
        <w:widowControl/>
        <w:shd w:val="clear" w:color="FFFFFF" w:fill="FFFFFF"/>
        <w:tabs>
          <w:tab w:val="left" w:pos="6406"/>
        </w:tabs>
        <w:adjustRightInd/>
        <w:spacing w:line="240" w:lineRule="auto"/>
        <w:jc w:val="center"/>
        <w:outlineLvl w:val="0"/>
        <w:rPr>
          <w:rFonts w:ascii="黑体" w:hAnsi="Times New Roman" w:eastAsia="黑体"/>
          <w:kern w:val="0"/>
          <w:szCs w:val="20"/>
        </w:rPr>
      </w:pPr>
      <w:r>
        <w:rPr>
          <w:rFonts w:ascii="黑体" w:hAnsi="Times New Roman" w:eastAsia="黑体"/>
          <w:kern w:val="0"/>
          <w:szCs w:val="20"/>
        </w:rPr>
        <w:t>附</w:t>
      </w:r>
      <w:r>
        <w:rPr>
          <w:rFonts w:hint="eastAsia" w:ascii="黑体" w:hAnsi="Times New Roman" w:eastAsia="黑体"/>
          <w:kern w:val="0"/>
          <w:szCs w:val="20"/>
        </w:rPr>
        <w:t xml:space="preserve"> </w:t>
      </w:r>
      <w:r>
        <w:rPr>
          <w:rFonts w:ascii="黑体" w:hAnsi="Times New Roman" w:eastAsia="黑体"/>
          <w:kern w:val="0"/>
          <w:szCs w:val="20"/>
        </w:rPr>
        <w:t>录</w:t>
      </w:r>
      <w:r>
        <w:rPr>
          <w:rFonts w:hint="eastAsia" w:ascii="黑体" w:hAnsi="Times New Roman" w:eastAsia="黑体"/>
          <w:kern w:val="0"/>
          <w:szCs w:val="20"/>
        </w:rPr>
        <w:t xml:space="preserve"> B</w:t>
      </w:r>
    </w:p>
    <w:p w14:paraId="313179AD">
      <w:pPr>
        <w:widowControl/>
        <w:shd w:val="clear" w:color="FFFFFF" w:fill="FFFFFF"/>
        <w:tabs>
          <w:tab w:val="left" w:pos="6406"/>
        </w:tabs>
        <w:adjustRightInd/>
        <w:spacing w:line="240" w:lineRule="auto"/>
        <w:jc w:val="center"/>
        <w:outlineLvl w:val="0"/>
        <w:rPr>
          <w:rFonts w:ascii="黑体" w:hAnsi="Times New Roman" w:eastAsia="黑体"/>
          <w:kern w:val="0"/>
          <w:szCs w:val="20"/>
        </w:rPr>
      </w:pPr>
      <w:r>
        <w:rPr>
          <w:rFonts w:hint="eastAsia" w:ascii="黑体" w:hAnsi="Times New Roman" w:eastAsia="黑体"/>
          <w:kern w:val="0"/>
          <w:szCs w:val="20"/>
        </w:rPr>
        <w:t>（资料性）</w:t>
      </w:r>
    </w:p>
    <w:p w14:paraId="5D8E917A">
      <w:pPr>
        <w:widowControl/>
        <w:shd w:val="clear" w:color="FFFFFF" w:fill="FFFFFF"/>
        <w:tabs>
          <w:tab w:val="left" w:pos="6406"/>
        </w:tabs>
        <w:adjustRightInd/>
        <w:spacing w:line="240" w:lineRule="auto"/>
        <w:jc w:val="center"/>
        <w:outlineLvl w:val="0"/>
        <w:rPr>
          <w:rFonts w:ascii="黑体" w:hAnsi="Times New Roman" w:eastAsia="黑体"/>
          <w:kern w:val="0"/>
          <w:szCs w:val="20"/>
        </w:rPr>
      </w:pPr>
      <w:r>
        <w:rPr>
          <w:rFonts w:hint="eastAsia" w:ascii="黑体" w:hAnsi="Times New Roman" w:eastAsia="黑体"/>
          <w:kern w:val="0"/>
          <w:szCs w:val="20"/>
        </w:rPr>
        <w:t>常用的盐碱地化学改良措施</w:t>
      </w:r>
    </w:p>
    <w:p w14:paraId="683F1299">
      <w:pPr>
        <w:widowControl/>
        <w:autoSpaceDE w:val="0"/>
        <w:autoSpaceDN w:val="0"/>
        <w:adjustRightInd/>
        <w:spacing w:before="156" w:beforeLines="50" w:after="156" w:afterLines="50" w:line="240" w:lineRule="auto"/>
        <w:ind w:firstLine="420" w:firstLineChars="200"/>
        <w:jc w:val="left"/>
        <w:rPr>
          <w:rFonts w:ascii="宋体" w:hAnsi="Times New Roman"/>
          <w:kern w:val="0"/>
          <w:szCs w:val="20"/>
        </w:rPr>
      </w:pPr>
      <w:r>
        <w:rPr>
          <w:rFonts w:hint="eastAsia" w:ascii="宋体" w:hAnsi="Times New Roman"/>
          <w:kern w:val="0"/>
          <w:szCs w:val="20"/>
        </w:rPr>
        <w:t>表B</w:t>
      </w:r>
      <w:r>
        <w:rPr>
          <w:rFonts w:ascii="宋体" w:hAnsi="Times New Roman"/>
          <w:kern w:val="0"/>
          <w:szCs w:val="20"/>
        </w:rPr>
        <w:t xml:space="preserve">.1 </w:t>
      </w:r>
      <w:r>
        <w:rPr>
          <w:rFonts w:hint="eastAsia" w:ascii="宋体" w:hAnsi="Times New Roman"/>
          <w:kern w:val="0"/>
          <w:szCs w:val="20"/>
        </w:rPr>
        <w:t>规定了常用的盐碱地化学改良措施</w:t>
      </w:r>
    </w:p>
    <w:p w14:paraId="16E1E0C7">
      <w:pPr>
        <w:pStyle w:val="56"/>
        <w:spacing w:before="156" w:beforeLines="50" w:after="156" w:afterLines="50"/>
        <w:ind w:firstLine="420"/>
        <w:jc w:val="center"/>
      </w:pPr>
      <w:r>
        <w:rPr>
          <w:rFonts w:hint="eastAsia" w:ascii="黑体" w:eastAsia="黑体"/>
        </w:rPr>
        <w:t>表B.1 常用的盐碱地化学改良措施</w:t>
      </w:r>
    </w:p>
    <w:tbl>
      <w:tblPr>
        <w:tblStyle w:val="27"/>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392"/>
        <w:gridCol w:w="2392"/>
        <w:gridCol w:w="2393"/>
        <w:gridCol w:w="2393"/>
      </w:tblGrid>
      <w:tr w14:paraId="078E50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12" w:space="0"/>
              <w:bottom w:val="single" w:color="auto" w:sz="12" w:space="0"/>
            </w:tcBorders>
            <w:vAlign w:val="center"/>
          </w:tcPr>
          <w:p w14:paraId="39B4313E">
            <w:pPr>
              <w:pStyle w:val="56"/>
              <w:ind w:firstLine="0" w:firstLineChars="0"/>
              <w:jc w:val="center"/>
              <w:rPr>
                <w:color w:val="000000" w:themeColor="text1"/>
                <w:sz w:val="18"/>
                <w:szCs w:val="18"/>
              </w:rPr>
            </w:pPr>
            <w:r>
              <w:rPr>
                <w:rFonts w:hint="eastAsia"/>
                <w:color w:val="000000" w:themeColor="text1"/>
                <w:sz w:val="18"/>
                <w:szCs w:val="18"/>
              </w:rPr>
              <w:t>措施</w:t>
            </w:r>
          </w:p>
        </w:tc>
        <w:tc>
          <w:tcPr>
            <w:tcW w:w="2392" w:type="dxa"/>
            <w:tcBorders>
              <w:top w:val="single" w:color="auto" w:sz="12" w:space="0"/>
              <w:bottom w:val="single" w:color="auto" w:sz="12" w:space="0"/>
            </w:tcBorders>
            <w:vAlign w:val="center"/>
          </w:tcPr>
          <w:p w14:paraId="35A3656D">
            <w:pPr>
              <w:pStyle w:val="56"/>
              <w:ind w:firstLine="0" w:firstLineChars="0"/>
              <w:jc w:val="center"/>
              <w:rPr>
                <w:color w:val="000000" w:themeColor="text1"/>
                <w:sz w:val="18"/>
                <w:szCs w:val="18"/>
              </w:rPr>
            </w:pPr>
            <w:r>
              <w:rPr>
                <w:rFonts w:hint="eastAsia"/>
                <w:color w:val="000000" w:themeColor="text1"/>
                <w:sz w:val="18"/>
                <w:szCs w:val="18"/>
              </w:rPr>
              <w:t>基本原理</w:t>
            </w:r>
          </w:p>
        </w:tc>
        <w:tc>
          <w:tcPr>
            <w:tcW w:w="2393" w:type="dxa"/>
            <w:tcBorders>
              <w:top w:val="single" w:color="auto" w:sz="12" w:space="0"/>
              <w:bottom w:val="single" w:color="auto" w:sz="12" w:space="0"/>
            </w:tcBorders>
            <w:vAlign w:val="center"/>
          </w:tcPr>
          <w:p w14:paraId="09137F60">
            <w:pPr>
              <w:pStyle w:val="56"/>
              <w:ind w:firstLine="0" w:firstLineChars="0"/>
              <w:jc w:val="center"/>
              <w:rPr>
                <w:color w:val="000000" w:themeColor="text1"/>
                <w:sz w:val="18"/>
                <w:szCs w:val="18"/>
              </w:rPr>
            </w:pPr>
            <w:r>
              <w:rPr>
                <w:rFonts w:hint="eastAsia"/>
                <w:color w:val="000000" w:themeColor="text1"/>
                <w:sz w:val="18"/>
                <w:szCs w:val="18"/>
              </w:rPr>
              <w:t>适用条件</w:t>
            </w:r>
          </w:p>
        </w:tc>
        <w:tc>
          <w:tcPr>
            <w:tcW w:w="2393" w:type="dxa"/>
            <w:tcBorders>
              <w:top w:val="single" w:color="auto" w:sz="12" w:space="0"/>
              <w:bottom w:val="single" w:color="auto" w:sz="12" w:space="0"/>
            </w:tcBorders>
            <w:vAlign w:val="center"/>
          </w:tcPr>
          <w:p w14:paraId="46868FBD">
            <w:pPr>
              <w:pStyle w:val="56"/>
              <w:ind w:firstLine="0" w:firstLineChars="0"/>
              <w:jc w:val="center"/>
              <w:rPr>
                <w:color w:val="000000" w:themeColor="text1"/>
                <w:sz w:val="18"/>
                <w:szCs w:val="18"/>
              </w:rPr>
            </w:pPr>
            <w:r>
              <w:rPr>
                <w:rFonts w:hint="eastAsia"/>
                <w:color w:val="000000" w:themeColor="text1"/>
                <w:sz w:val="18"/>
                <w:szCs w:val="18"/>
              </w:rPr>
              <w:t>施工方法</w:t>
            </w:r>
          </w:p>
        </w:tc>
      </w:tr>
      <w:tr w14:paraId="6F6D93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12" w:space="0"/>
            </w:tcBorders>
            <w:vAlign w:val="center"/>
          </w:tcPr>
          <w:p w14:paraId="07853471">
            <w:pPr>
              <w:pStyle w:val="56"/>
              <w:ind w:firstLine="90" w:firstLineChars="50"/>
              <w:jc w:val="left"/>
              <w:rPr>
                <w:color w:val="000000" w:themeColor="text1"/>
                <w:sz w:val="18"/>
                <w:szCs w:val="18"/>
              </w:rPr>
            </w:pPr>
            <w:r>
              <w:rPr>
                <w:rFonts w:hint="eastAsia"/>
                <w:color w:val="000000" w:themeColor="text1"/>
                <w:sz w:val="18"/>
                <w:szCs w:val="18"/>
              </w:rPr>
              <w:t>增加钙质改良剂</w:t>
            </w:r>
          </w:p>
        </w:tc>
        <w:tc>
          <w:tcPr>
            <w:tcW w:w="2392" w:type="dxa"/>
            <w:tcBorders>
              <w:top w:val="single" w:color="auto" w:sz="12" w:space="0"/>
            </w:tcBorders>
            <w:vAlign w:val="center"/>
          </w:tcPr>
          <w:p w14:paraId="0B7E6687">
            <w:pPr>
              <w:pStyle w:val="56"/>
              <w:ind w:firstLine="180" w:firstLineChars="100"/>
              <w:jc w:val="left"/>
              <w:rPr>
                <w:color w:val="FF0000"/>
              </w:rPr>
            </w:pPr>
            <w:r>
              <w:rPr>
                <w:rFonts w:hint="eastAsia"/>
                <w:color w:val="000000" w:themeColor="text1"/>
                <w:sz w:val="18"/>
                <w:szCs w:val="18"/>
              </w:rPr>
              <w:t>主要成分为</w:t>
            </w:r>
            <w:r>
              <w:rPr>
                <w:rFonts w:hAnsi="宋体"/>
                <w:color w:val="000000" w:themeColor="text1"/>
                <w:sz w:val="18"/>
                <w:szCs w:val="18"/>
              </w:rPr>
              <w:t>CaS0</w:t>
            </w:r>
            <w:r>
              <w:rPr>
                <w:rFonts w:hAnsi="宋体"/>
                <w:color w:val="000000" w:themeColor="text1"/>
                <w:sz w:val="18"/>
                <w:szCs w:val="18"/>
                <w:vertAlign w:val="subscript"/>
              </w:rPr>
              <w:t>4</w:t>
            </w:r>
            <w:r>
              <w:rPr>
                <w:rFonts w:hAnsi="宋体"/>
                <w:color w:val="000000" w:themeColor="text1"/>
                <w:sz w:val="18"/>
                <w:szCs w:val="18"/>
              </w:rPr>
              <w:t>•2H</w:t>
            </w:r>
            <w:r>
              <w:rPr>
                <w:rFonts w:hAnsi="宋体"/>
                <w:color w:val="000000" w:themeColor="text1"/>
                <w:sz w:val="18"/>
                <w:szCs w:val="18"/>
                <w:vertAlign w:val="subscript"/>
              </w:rPr>
              <w:t>2</w:t>
            </w:r>
            <w:r>
              <w:rPr>
                <w:rFonts w:hAnsi="宋体"/>
                <w:color w:val="000000" w:themeColor="text1"/>
                <w:sz w:val="18"/>
                <w:szCs w:val="18"/>
              </w:rPr>
              <w:t>0，</w:t>
            </w:r>
            <w:r>
              <w:rPr>
                <w:rFonts w:hint="eastAsia"/>
                <w:color w:val="000000" w:themeColor="text1"/>
                <w:sz w:val="18"/>
                <w:szCs w:val="18"/>
              </w:rPr>
              <w:t>增加钙离子化合物，置换出土壤胶体上的</w:t>
            </w:r>
            <w:r>
              <w:rPr>
                <w:color w:val="000000" w:themeColor="text1"/>
                <w:sz w:val="18"/>
                <w:szCs w:val="18"/>
              </w:rPr>
              <w:t>Na</w:t>
            </w:r>
            <w:r>
              <w:rPr>
                <w:color w:val="000000" w:themeColor="text1"/>
                <w:sz w:val="18"/>
                <w:szCs w:val="18"/>
                <w:vertAlign w:val="superscript"/>
              </w:rPr>
              <w:t>+</w:t>
            </w:r>
            <w:r>
              <w:rPr>
                <w:rFonts w:hint="eastAsia"/>
                <w:color w:val="000000" w:themeColor="text1"/>
                <w:sz w:val="18"/>
                <w:szCs w:val="18"/>
              </w:rPr>
              <w:t>。</w:t>
            </w:r>
          </w:p>
        </w:tc>
        <w:tc>
          <w:tcPr>
            <w:tcW w:w="2393" w:type="dxa"/>
            <w:tcBorders>
              <w:top w:val="single" w:color="auto" w:sz="12" w:space="0"/>
            </w:tcBorders>
            <w:vAlign w:val="center"/>
          </w:tcPr>
          <w:p w14:paraId="27601BB9">
            <w:pPr>
              <w:pStyle w:val="56"/>
              <w:ind w:firstLine="90" w:firstLineChars="50"/>
              <w:rPr>
                <w:color w:val="000000" w:themeColor="text1"/>
                <w:sz w:val="18"/>
                <w:szCs w:val="18"/>
              </w:rPr>
            </w:pPr>
            <w:r>
              <w:rPr>
                <w:rFonts w:hint="eastAsia"/>
                <w:color w:val="000000" w:themeColor="text1"/>
                <w:sz w:val="18"/>
                <w:szCs w:val="18"/>
              </w:rPr>
              <w:t>碱化土壤，pH&gt;8</w:t>
            </w:r>
          </w:p>
        </w:tc>
        <w:tc>
          <w:tcPr>
            <w:tcW w:w="2393" w:type="dxa"/>
            <w:tcBorders>
              <w:top w:val="single" w:color="auto" w:sz="12" w:space="0"/>
            </w:tcBorders>
            <w:vAlign w:val="center"/>
          </w:tcPr>
          <w:p w14:paraId="6CCE4AA0">
            <w:pPr>
              <w:pStyle w:val="56"/>
              <w:ind w:firstLine="180" w:firstLineChars="100"/>
              <w:jc w:val="left"/>
              <w:rPr>
                <w:color w:val="000000" w:themeColor="text1"/>
                <w:sz w:val="18"/>
                <w:szCs w:val="18"/>
              </w:rPr>
            </w:pPr>
            <w:r>
              <w:rPr>
                <w:rFonts w:hint="eastAsia"/>
                <w:color w:val="000000" w:themeColor="text1"/>
                <w:sz w:val="18"/>
                <w:szCs w:val="18"/>
              </w:rPr>
              <w:t>常用改良剂为石膏、脱硫石膏、石灰石、磷石膏等。</w:t>
            </w:r>
          </w:p>
        </w:tc>
      </w:tr>
      <w:tr w14:paraId="7D9BFD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14:paraId="662FDDDE">
            <w:pPr>
              <w:pStyle w:val="56"/>
              <w:ind w:firstLine="90" w:firstLineChars="50"/>
              <w:jc w:val="left"/>
              <w:rPr>
                <w:color w:val="000000" w:themeColor="text1"/>
                <w:sz w:val="18"/>
                <w:szCs w:val="18"/>
              </w:rPr>
            </w:pPr>
            <w:r>
              <w:rPr>
                <w:rFonts w:hint="eastAsia"/>
                <w:color w:val="000000" w:themeColor="text1"/>
                <w:sz w:val="18"/>
                <w:szCs w:val="18"/>
              </w:rPr>
              <w:t>施用酸性改良剂</w:t>
            </w:r>
          </w:p>
        </w:tc>
        <w:tc>
          <w:tcPr>
            <w:tcW w:w="2392" w:type="dxa"/>
            <w:vAlign w:val="center"/>
          </w:tcPr>
          <w:p w14:paraId="165853FD">
            <w:pPr>
              <w:ind w:firstLine="180" w:firstLineChars="100"/>
              <w:jc w:val="left"/>
              <w:rPr>
                <w:rFonts w:ascii="宋体" w:hAnsi="Times New Roman"/>
                <w:color w:val="FF0000"/>
                <w:kern w:val="0"/>
                <w:szCs w:val="20"/>
              </w:rPr>
            </w:pPr>
            <w:r>
              <w:rPr>
                <w:rFonts w:hint="eastAsia"/>
                <w:color w:val="000000" w:themeColor="text1"/>
                <w:sz w:val="18"/>
                <w:szCs w:val="18"/>
              </w:rPr>
              <w:t>以H置换交换性</w:t>
            </w:r>
            <w:r>
              <w:rPr>
                <w:rFonts w:ascii="宋体" w:hAnsi="Times New Roman"/>
                <w:color w:val="000000" w:themeColor="text1"/>
                <w:kern w:val="0"/>
                <w:sz w:val="18"/>
                <w:szCs w:val="18"/>
              </w:rPr>
              <w:t>Na</w:t>
            </w:r>
            <w:r>
              <w:rPr>
                <w:rFonts w:ascii="宋体" w:hAnsi="Times New Roman"/>
                <w:color w:val="000000" w:themeColor="text1"/>
                <w:kern w:val="0"/>
                <w:sz w:val="18"/>
                <w:szCs w:val="18"/>
                <w:vertAlign w:val="superscript"/>
              </w:rPr>
              <w:t>+</w:t>
            </w:r>
            <w:r>
              <w:rPr>
                <w:rFonts w:hint="eastAsia"/>
                <w:color w:val="000000" w:themeColor="text1"/>
                <w:sz w:val="18"/>
                <w:szCs w:val="18"/>
              </w:rPr>
              <w:t>，中和土壤碱性。</w:t>
            </w:r>
          </w:p>
        </w:tc>
        <w:tc>
          <w:tcPr>
            <w:tcW w:w="2393" w:type="dxa"/>
            <w:vAlign w:val="center"/>
          </w:tcPr>
          <w:p w14:paraId="0AD17F62">
            <w:pPr>
              <w:pStyle w:val="56"/>
              <w:ind w:firstLine="90" w:firstLineChars="50"/>
              <w:rPr>
                <w:color w:val="000000" w:themeColor="text1"/>
                <w:sz w:val="18"/>
                <w:szCs w:val="18"/>
              </w:rPr>
            </w:pPr>
            <w:r>
              <w:rPr>
                <w:rFonts w:hint="eastAsia"/>
                <w:color w:val="000000" w:themeColor="text1"/>
                <w:sz w:val="18"/>
                <w:szCs w:val="18"/>
              </w:rPr>
              <w:t>碱化土壤，</w:t>
            </w:r>
            <w:r>
              <w:rPr>
                <w:color w:val="000000" w:themeColor="text1"/>
                <w:sz w:val="18"/>
                <w:szCs w:val="18"/>
              </w:rPr>
              <w:t>pH&gt;8</w:t>
            </w:r>
          </w:p>
        </w:tc>
        <w:tc>
          <w:tcPr>
            <w:tcW w:w="2393" w:type="dxa"/>
            <w:vAlign w:val="center"/>
          </w:tcPr>
          <w:p w14:paraId="7DD17196">
            <w:pPr>
              <w:pStyle w:val="56"/>
              <w:ind w:firstLine="180" w:firstLineChars="100"/>
              <w:jc w:val="left"/>
              <w:rPr>
                <w:color w:val="000000" w:themeColor="text1"/>
                <w:sz w:val="18"/>
                <w:szCs w:val="18"/>
              </w:rPr>
            </w:pPr>
            <w:r>
              <w:rPr>
                <w:rFonts w:hint="eastAsia"/>
                <w:color w:val="000000" w:themeColor="text1"/>
                <w:sz w:val="18"/>
                <w:szCs w:val="18"/>
              </w:rPr>
              <w:t>常用改良剂为硫黄粉、黑矾、煤矸石等，用量根据使用说明书和盐碱程度调配。</w:t>
            </w:r>
          </w:p>
        </w:tc>
      </w:tr>
      <w:tr w14:paraId="0CA9AA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392" w:type="dxa"/>
            <w:vAlign w:val="center"/>
          </w:tcPr>
          <w:p w14:paraId="67194AD9">
            <w:pPr>
              <w:pStyle w:val="56"/>
              <w:ind w:firstLine="90" w:firstLineChars="50"/>
              <w:jc w:val="left"/>
              <w:rPr>
                <w:color w:val="000000" w:themeColor="text1"/>
                <w:sz w:val="18"/>
                <w:szCs w:val="18"/>
              </w:rPr>
            </w:pPr>
            <w:r>
              <w:rPr>
                <w:rFonts w:hint="eastAsia"/>
                <w:color w:val="000000" w:themeColor="text1"/>
                <w:sz w:val="18"/>
                <w:szCs w:val="18"/>
              </w:rPr>
              <w:t>加入Na+吸附剂</w:t>
            </w:r>
          </w:p>
        </w:tc>
        <w:tc>
          <w:tcPr>
            <w:tcW w:w="2392" w:type="dxa"/>
            <w:vAlign w:val="center"/>
          </w:tcPr>
          <w:p w14:paraId="42DD4D5F">
            <w:pPr>
              <w:ind w:firstLine="180" w:firstLineChars="100"/>
              <w:jc w:val="left"/>
              <w:rPr>
                <w:rFonts w:ascii="宋体" w:hAnsi="Times New Roman"/>
                <w:color w:val="FF0000"/>
                <w:kern w:val="0"/>
                <w:szCs w:val="20"/>
              </w:rPr>
            </w:pPr>
            <w:r>
              <w:rPr>
                <w:rFonts w:hint="eastAsia"/>
                <w:color w:val="000000" w:themeColor="text1"/>
                <w:sz w:val="18"/>
                <w:szCs w:val="18"/>
              </w:rPr>
              <w:t>吸附盐碱土中的</w:t>
            </w:r>
            <w:r>
              <w:rPr>
                <w:rFonts w:ascii="宋体" w:hAnsi="Times New Roman"/>
                <w:color w:val="000000" w:themeColor="text1"/>
                <w:kern w:val="0"/>
                <w:sz w:val="18"/>
                <w:szCs w:val="18"/>
              </w:rPr>
              <w:t>Na</w:t>
            </w:r>
            <w:r>
              <w:rPr>
                <w:rFonts w:ascii="宋体" w:hAnsi="Times New Roman"/>
                <w:color w:val="000000" w:themeColor="text1"/>
                <w:kern w:val="0"/>
                <w:sz w:val="18"/>
                <w:szCs w:val="18"/>
                <w:vertAlign w:val="superscript"/>
              </w:rPr>
              <w:t>+</w:t>
            </w:r>
            <w:r>
              <w:rPr>
                <w:rFonts w:hint="eastAsia"/>
                <w:color w:val="000000" w:themeColor="text1"/>
                <w:sz w:val="18"/>
                <w:szCs w:val="18"/>
              </w:rPr>
              <w:t>、</w:t>
            </w:r>
            <w:r>
              <w:rPr>
                <w:color w:val="000000" w:themeColor="text1"/>
                <w:sz w:val="18"/>
                <w:szCs w:val="18"/>
              </w:rPr>
              <w:t>S</w:t>
            </w:r>
            <w:r>
              <w:rPr>
                <w:rFonts w:hint="eastAsia"/>
                <w:color w:val="000000" w:themeColor="text1"/>
                <w:sz w:val="18"/>
                <w:szCs w:val="18"/>
              </w:rPr>
              <w:t>O</w:t>
            </w:r>
            <w:r>
              <w:rPr>
                <w:color w:val="000000" w:themeColor="text1"/>
                <w:sz w:val="18"/>
                <w:szCs w:val="18"/>
                <w:vertAlign w:val="subscript"/>
              </w:rPr>
              <w:t>4</w:t>
            </w:r>
            <w:r>
              <w:rPr>
                <w:color w:val="000000" w:themeColor="text1"/>
                <w:sz w:val="18"/>
                <w:szCs w:val="18"/>
                <w:vertAlign w:val="superscript"/>
              </w:rPr>
              <w:t>2-</w:t>
            </w:r>
            <w:r>
              <w:rPr>
                <w:rFonts w:hint="eastAsia"/>
                <w:color w:val="000000" w:themeColor="text1"/>
                <w:sz w:val="18"/>
                <w:szCs w:val="18"/>
              </w:rPr>
              <w:t>、C1</w:t>
            </w:r>
            <w:r>
              <w:rPr>
                <w:rFonts w:hint="eastAsia"/>
                <w:color w:val="000000" w:themeColor="text1"/>
                <w:sz w:val="18"/>
                <w:szCs w:val="18"/>
                <w:vertAlign w:val="superscript"/>
              </w:rPr>
              <w:t>-</w:t>
            </w:r>
            <w:r>
              <w:rPr>
                <w:rFonts w:hint="eastAsia"/>
                <w:color w:val="000000" w:themeColor="text1"/>
                <w:sz w:val="18"/>
                <w:szCs w:val="18"/>
              </w:rPr>
              <w:t>等离子，改变pH值，交换土壤中有害金属离子，降低土壤盐碱含量。</w:t>
            </w:r>
          </w:p>
        </w:tc>
        <w:tc>
          <w:tcPr>
            <w:tcW w:w="2393" w:type="dxa"/>
            <w:vAlign w:val="center"/>
          </w:tcPr>
          <w:p w14:paraId="01328B70">
            <w:pPr>
              <w:pStyle w:val="56"/>
              <w:ind w:firstLine="90" w:firstLineChars="50"/>
              <w:rPr>
                <w:color w:val="000000" w:themeColor="text1"/>
                <w:sz w:val="18"/>
                <w:szCs w:val="18"/>
              </w:rPr>
            </w:pPr>
            <w:r>
              <w:rPr>
                <w:rFonts w:hint="eastAsia"/>
                <w:color w:val="000000" w:themeColor="text1"/>
                <w:sz w:val="18"/>
                <w:szCs w:val="18"/>
              </w:rPr>
              <w:t>重度盐碱地</w:t>
            </w:r>
          </w:p>
        </w:tc>
        <w:tc>
          <w:tcPr>
            <w:tcW w:w="2393" w:type="dxa"/>
            <w:vAlign w:val="center"/>
          </w:tcPr>
          <w:p w14:paraId="3D60A112">
            <w:pPr>
              <w:pStyle w:val="56"/>
              <w:ind w:firstLine="180" w:firstLineChars="100"/>
              <w:jc w:val="left"/>
              <w:rPr>
                <w:color w:val="000000" w:themeColor="text1"/>
                <w:sz w:val="18"/>
                <w:szCs w:val="18"/>
              </w:rPr>
            </w:pPr>
            <w:r>
              <w:rPr>
                <w:rFonts w:hint="eastAsia"/>
                <w:color w:val="000000" w:themeColor="text1"/>
                <w:sz w:val="18"/>
                <w:szCs w:val="18"/>
              </w:rPr>
              <w:t>常用吸附剂为沸石、膨润土、风化褐煤，用量根据使用说明书和盐碱程度调配。</w:t>
            </w:r>
          </w:p>
        </w:tc>
      </w:tr>
      <w:bookmarkEnd w:id="41"/>
    </w:tbl>
    <w:p w14:paraId="63DEBD26">
      <w:pPr>
        <w:pStyle w:val="56"/>
        <w:ind w:firstLine="420" w:firstLineChars="0"/>
        <w:jc w:val="center"/>
      </w:pPr>
      <w:bookmarkStart w:id="4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2"/>
    </w:p>
    <w:sectPr>
      <w:pgSz w:w="11906" w:h="16838"/>
      <w:pgMar w:top="2410"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1D1ED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44974">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0BB8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5B03D">
    <w:pPr>
      <w:pStyle w:val="52"/>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5F7CA">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31F58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17E1BD">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9F6D8">
    <w:pPr>
      <w:pStyle w:val="61"/>
    </w:pPr>
    <w:r>
      <w:fldChar w:fldCharType="begin"/>
    </w:r>
    <w:r>
      <w:instrText xml:space="preserve"> STYLEREF  标准文件_文件编号  \* MERGEFORMAT </w:instrText>
    </w:r>
    <w:r>
      <w:fldChar w:fldCharType="separate"/>
    </w:r>
    <w:r>
      <w:t>DB 3207/T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C3512">
    <w:pPr>
      <w:pStyle w:val="18"/>
      <w:jc w:val="right"/>
      <w:rPr>
        <w:lang w:val="fr-FR"/>
      </w:rPr>
    </w:pPr>
    <w:r>
      <w:fldChar w:fldCharType="begin"/>
    </w:r>
    <w:r>
      <w:instrText xml:space="preserve"> STYLEREF  标准文件_文件编号  \* MERGEFORMAT </w:instrText>
    </w:r>
    <w:r>
      <w:fldChar w:fldCharType="separate"/>
    </w:r>
    <w:r>
      <w:t>DB 3207/T XXXX—2024</w:t>
    </w:r>
    <w:r>
      <w:rPr>
        <w:lang w:val="fr-F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70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1RaGL6MHkAQuxUUQxrK5K8bEwKtrYwvLLmEVQE8STwCgAAFD/EAXmiCdmaQkxqJfa4fQPx66f3xY/xdGj5eNIA==" w:salt="JgXtYMsEQSQE2PqG08sfOQ=="/>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8578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DF3"/>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326E"/>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F0"/>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4B16"/>
    <w:rsid w:val="00135323"/>
    <w:rsid w:val="001356C4"/>
    <w:rsid w:val="00141114"/>
    <w:rsid w:val="00142969"/>
    <w:rsid w:val="001446C2"/>
    <w:rsid w:val="001457E7"/>
    <w:rsid w:val="00145D9D"/>
    <w:rsid w:val="00146388"/>
    <w:rsid w:val="001472DE"/>
    <w:rsid w:val="001529E5"/>
    <w:rsid w:val="00153C7E"/>
    <w:rsid w:val="00156B25"/>
    <w:rsid w:val="00156E1A"/>
    <w:rsid w:val="00157894"/>
    <w:rsid w:val="00157B55"/>
    <w:rsid w:val="00157DDE"/>
    <w:rsid w:val="00163BA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6514"/>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093"/>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029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07D3"/>
    <w:rsid w:val="002D0BD4"/>
    <w:rsid w:val="002D11EA"/>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04E5"/>
    <w:rsid w:val="003111EF"/>
    <w:rsid w:val="00313B85"/>
    <w:rsid w:val="00317988"/>
    <w:rsid w:val="00320235"/>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0F4"/>
    <w:rsid w:val="003A61F1"/>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5CDF"/>
    <w:rsid w:val="003F6272"/>
    <w:rsid w:val="00400E72"/>
    <w:rsid w:val="00401400"/>
    <w:rsid w:val="00404869"/>
    <w:rsid w:val="00405884"/>
    <w:rsid w:val="00407D39"/>
    <w:rsid w:val="0041477A"/>
    <w:rsid w:val="004167A3"/>
    <w:rsid w:val="00432DAA"/>
    <w:rsid w:val="00434305"/>
    <w:rsid w:val="00435DF7"/>
    <w:rsid w:val="0044083F"/>
    <w:rsid w:val="00441AE7"/>
    <w:rsid w:val="00444019"/>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B7C"/>
    <w:rsid w:val="004B3E93"/>
    <w:rsid w:val="004C1FBC"/>
    <w:rsid w:val="004C3F1D"/>
    <w:rsid w:val="004C458D"/>
    <w:rsid w:val="004C7556"/>
    <w:rsid w:val="004C7E8B"/>
    <w:rsid w:val="004C7E9D"/>
    <w:rsid w:val="004C7F67"/>
    <w:rsid w:val="004D076D"/>
    <w:rsid w:val="004D0EF1"/>
    <w:rsid w:val="004D2253"/>
    <w:rsid w:val="004D4406"/>
    <w:rsid w:val="004D66C5"/>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1F34"/>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6D1"/>
    <w:rsid w:val="005E2335"/>
    <w:rsid w:val="005E34CA"/>
    <w:rsid w:val="005E3C18"/>
    <w:rsid w:val="005E6812"/>
    <w:rsid w:val="005E7881"/>
    <w:rsid w:val="005E78E0"/>
    <w:rsid w:val="005F0D9C"/>
    <w:rsid w:val="005F284E"/>
    <w:rsid w:val="005F4712"/>
    <w:rsid w:val="006015CE"/>
    <w:rsid w:val="0060462C"/>
    <w:rsid w:val="00604784"/>
    <w:rsid w:val="00606419"/>
    <w:rsid w:val="00607D29"/>
    <w:rsid w:val="006124A3"/>
    <w:rsid w:val="00612952"/>
    <w:rsid w:val="00614CC1"/>
    <w:rsid w:val="00615A9D"/>
    <w:rsid w:val="00617387"/>
    <w:rsid w:val="006205D6"/>
    <w:rsid w:val="00620DE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0AEE"/>
    <w:rsid w:val="00672060"/>
    <w:rsid w:val="00672BFD"/>
    <w:rsid w:val="006770F4"/>
    <w:rsid w:val="00677A84"/>
    <w:rsid w:val="0068026D"/>
    <w:rsid w:val="00680A27"/>
    <w:rsid w:val="006816A4"/>
    <w:rsid w:val="006819B8"/>
    <w:rsid w:val="006840A6"/>
    <w:rsid w:val="006850CD"/>
    <w:rsid w:val="00685AAB"/>
    <w:rsid w:val="00690EC2"/>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FF2"/>
    <w:rsid w:val="007600E3"/>
    <w:rsid w:val="007656F3"/>
    <w:rsid w:val="00765C43"/>
    <w:rsid w:val="00765EFB"/>
    <w:rsid w:val="007671CA"/>
    <w:rsid w:val="00767C61"/>
    <w:rsid w:val="0077008A"/>
    <w:rsid w:val="00773C1F"/>
    <w:rsid w:val="00774DA4"/>
    <w:rsid w:val="00776599"/>
    <w:rsid w:val="0078114B"/>
    <w:rsid w:val="00781DD2"/>
    <w:rsid w:val="00783ECF"/>
    <w:rsid w:val="0078413A"/>
    <w:rsid w:val="00791350"/>
    <w:rsid w:val="007959E8"/>
    <w:rsid w:val="00795E9C"/>
    <w:rsid w:val="007A0521"/>
    <w:rsid w:val="007A2E12"/>
    <w:rsid w:val="007A3475"/>
    <w:rsid w:val="007A41C8"/>
    <w:rsid w:val="007A54CE"/>
    <w:rsid w:val="007A6FD9"/>
    <w:rsid w:val="007A7FFA"/>
    <w:rsid w:val="007B04EB"/>
    <w:rsid w:val="007B0D4F"/>
    <w:rsid w:val="007B41C9"/>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242E"/>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2B08"/>
    <w:rsid w:val="00883D64"/>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5F74"/>
    <w:rsid w:val="009273B3"/>
    <w:rsid w:val="009305B5"/>
    <w:rsid w:val="009429D5"/>
    <w:rsid w:val="00942BF1"/>
    <w:rsid w:val="00945180"/>
    <w:rsid w:val="00945428"/>
    <w:rsid w:val="00945840"/>
    <w:rsid w:val="0094607B"/>
    <w:rsid w:val="00947A11"/>
    <w:rsid w:val="00953604"/>
    <w:rsid w:val="0095496B"/>
    <w:rsid w:val="009610DC"/>
    <w:rsid w:val="00961490"/>
    <w:rsid w:val="0096381A"/>
    <w:rsid w:val="00965E04"/>
    <w:rsid w:val="009674AD"/>
    <w:rsid w:val="00970CDC"/>
    <w:rsid w:val="00973195"/>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3928"/>
    <w:rsid w:val="009D47FA"/>
    <w:rsid w:val="009D4C5B"/>
    <w:rsid w:val="009D50D2"/>
    <w:rsid w:val="009D6BCA"/>
    <w:rsid w:val="009E0F62"/>
    <w:rsid w:val="009E35E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5D18"/>
    <w:rsid w:val="00A963F7"/>
    <w:rsid w:val="00A96AD8"/>
    <w:rsid w:val="00AA052C"/>
    <w:rsid w:val="00AA1E45"/>
    <w:rsid w:val="00AA4286"/>
    <w:rsid w:val="00AA456B"/>
    <w:rsid w:val="00AA57F5"/>
    <w:rsid w:val="00AA672E"/>
    <w:rsid w:val="00AA6EC9"/>
    <w:rsid w:val="00AB10DE"/>
    <w:rsid w:val="00AB41D5"/>
    <w:rsid w:val="00AB4D02"/>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0F88"/>
    <w:rsid w:val="00AF47C5"/>
    <w:rsid w:val="00AF5398"/>
    <w:rsid w:val="00B049AF"/>
    <w:rsid w:val="00B05FA5"/>
    <w:rsid w:val="00B07242"/>
    <w:rsid w:val="00B10534"/>
    <w:rsid w:val="00B113DB"/>
    <w:rsid w:val="00B11D8A"/>
    <w:rsid w:val="00B12981"/>
    <w:rsid w:val="00B147DD"/>
    <w:rsid w:val="00B156FD"/>
    <w:rsid w:val="00B21F61"/>
    <w:rsid w:val="00B261F1"/>
    <w:rsid w:val="00B265BC"/>
    <w:rsid w:val="00B31FB1"/>
    <w:rsid w:val="00B33952"/>
    <w:rsid w:val="00B33C5E"/>
    <w:rsid w:val="00B33CA9"/>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066B"/>
    <w:rsid w:val="00B939B1"/>
    <w:rsid w:val="00B96D40"/>
    <w:rsid w:val="00B97386"/>
    <w:rsid w:val="00BA263B"/>
    <w:rsid w:val="00BA42B2"/>
    <w:rsid w:val="00BA58D4"/>
    <w:rsid w:val="00BA5B9E"/>
    <w:rsid w:val="00BA7C9A"/>
    <w:rsid w:val="00BB3CD9"/>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0EEB"/>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C09"/>
    <w:rsid w:val="00C8248C"/>
    <w:rsid w:val="00C84E33"/>
    <w:rsid w:val="00C86D6F"/>
    <w:rsid w:val="00C905FC"/>
    <w:rsid w:val="00C921C7"/>
    <w:rsid w:val="00C92D03"/>
    <w:rsid w:val="00C9319C"/>
    <w:rsid w:val="00C9435D"/>
    <w:rsid w:val="00C94DF2"/>
    <w:rsid w:val="00C96741"/>
    <w:rsid w:val="00CA2D1B"/>
    <w:rsid w:val="00CA375D"/>
    <w:rsid w:val="00CA54D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8B7"/>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AC1"/>
    <w:rsid w:val="00D4162B"/>
    <w:rsid w:val="00D44833"/>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578B"/>
    <w:rsid w:val="00D86DB7"/>
    <w:rsid w:val="00D87AE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0F05"/>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DF7E39"/>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0FC5"/>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1572"/>
    <w:rsid w:val="00F25BB6"/>
    <w:rsid w:val="00F26B7E"/>
    <w:rsid w:val="00F27A3B"/>
    <w:rsid w:val="00F33817"/>
    <w:rsid w:val="00F420D5"/>
    <w:rsid w:val="00F451EA"/>
    <w:rsid w:val="00F45447"/>
    <w:rsid w:val="00F456C6"/>
    <w:rsid w:val="00F4577B"/>
    <w:rsid w:val="00F46496"/>
    <w:rsid w:val="00F474D0"/>
    <w:rsid w:val="00F4782C"/>
    <w:rsid w:val="00F50179"/>
    <w:rsid w:val="00F515EE"/>
    <w:rsid w:val="00F56511"/>
    <w:rsid w:val="00F6194E"/>
    <w:rsid w:val="00F623AC"/>
    <w:rsid w:val="00F6412A"/>
    <w:rsid w:val="00F65893"/>
    <w:rsid w:val="00F66A4A"/>
    <w:rsid w:val="00F70314"/>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0788"/>
    <w:rsid w:val="00FE1FBE"/>
    <w:rsid w:val="00FE3901"/>
    <w:rsid w:val="00FE39D3"/>
    <w:rsid w:val="00FE4BCE"/>
    <w:rsid w:val="00FE54AE"/>
    <w:rsid w:val="00FE576A"/>
    <w:rsid w:val="00FE7E79"/>
    <w:rsid w:val="00FF3E7D"/>
    <w:rsid w:val="00FF5B99"/>
    <w:rsid w:val="00FF730C"/>
    <w:rsid w:val="00FF73F4"/>
    <w:rsid w:val="00FF7CE4"/>
    <w:rsid w:val="00FF7E39"/>
    <w:rsid w:val="16210154"/>
    <w:rsid w:val="270218DC"/>
    <w:rsid w:val="29EA55A5"/>
    <w:rsid w:val="33354DE7"/>
    <w:rsid w:val="3A9B7C26"/>
    <w:rsid w:val="3D023F8C"/>
    <w:rsid w:val="489839F7"/>
    <w:rsid w:val="62BB5BEA"/>
    <w:rsid w:val="71940950"/>
    <w:rsid w:val="760360A4"/>
    <w:rsid w:val="762755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semiHidden="0" w:name="toc 3"/>
    <w:lsdException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Char"/>
    <w:link w:val="2"/>
    <w:qFormat/>
    <w:uiPriority w:val="0"/>
    <w:rPr>
      <w:rFonts w:ascii="Times New Roman" w:hAnsi="Times New Roman" w:eastAsia="宋体" w:cs="Times New Roman"/>
      <w:b/>
      <w:bCs/>
      <w:kern w:val="44"/>
      <w:sz w:val="44"/>
      <w:szCs w:val="44"/>
    </w:rPr>
  </w:style>
  <w:style w:type="character" w:customStyle="1" w:styleId="35">
    <w:name w:val="标题 2 Char"/>
    <w:link w:val="3"/>
    <w:qFormat/>
    <w:uiPriority w:val="0"/>
    <w:rPr>
      <w:rFonts w:ascii="Arial" w:hAnsi="Arial" w:eastAsia="黑体" w:cs="Times New Roman"/>
      <w:b/>
      <w:bCs/>
      <w:sz w:val="32"/>
      <w:szCs w:val="32"/>
    </w:rPr>
  </w:style>
  <w:style w:type="character" w:customStyle="1" w:styleId="36">
    <w:name w:val="标题 3 Char"/>
    <w:link w:val="4"/>
    <w:qFormat/>
    <w:uiPriority w:val="0"/>
    <w:rPr>
      <w:rFonts w:ascii="Times New Roman" w:hAnsi="Times New Roman" w:eastAsia="宋体" w:cs="Times New Roman"/>
      <w:b/>
      <w:bCs/>
      <w:sz w:val="32"/>
      <w:szCs w:val="32"/>
    </w:rPr>
  </w:style>
  <w:style w:type="character" w:customStyle="1" w:styleId="37">
    <w:name w:val="标题 4 Char"/>
    <w:link w:val="5"/>
    <w:qFormat/>
    <w:uiPriority w:val="0"/>
    <w:rPr>
      <w:rFonts w:ascii="Arial" w:hAnsi="Arial" w:eastAsia="黑体" w:cs="Times New Roman"/>
      <w:b/>
      <w:bCs/>
      <w:sz w:val="28"/>
      <w:szCs w:val="28"/>
    </w:rPr>
  </w:style>
  <w:style w:type="character" w:customStyle="1" w:styleId="38">
    <w:name w:val="标题 5 Char"/>
    <w:link w:val="6"/>
    <w:qFormat/>
    <w:uiPriority w:val="0"/>
    <w:rPr>
      <w:rFonts w:ascii="Times New Roman" w:hAnsi="Times New Roman" w:eastAsia="宋体" w:cs="Times New Roman"/>
      <w:b/>
      <w:bCs/>
      <w:sz w:val="28"/>
      <w:szCs w:val="28"/>
    </w:rPr>
  </w:style>
  <w:style w:type="character" w:customStyle="1" w:styleId="39">
    <w:name w:val="标题 6 Char"/>
    <w:link w:val="7"/>
    <w:qFormat/>
    <w:uiPriority w:val="0"/>
    <w:rPr>
      <w:rFonts w:ascii="Arial" w:hAnsi="Arial" w:eastAsia="黑体" w:cs="Times New Roman"/>
      <w:b/>
      <w:bCs/>
      <w:sz w:val="24"/>
      <w:szCs w:val="24"/>
    </w:rPr>
  </w:style>
  <w:style w:type="character" w:customStyle="1" w:styleId="40">
    <w:name w:val="标题 7 Char"/>
    <w:link w:val="8"/>
    <w:qFormat/>
    <w:uiPriority w:val="0"/>
    <w:rPr>
      <w:rFonts w:ascii="Times New Roman" w:hAnsi="Times New Roman" w:eastAsia="宋体" w:cs="Times New Roman"/>
      <w:b/>
      <w:bCs/>
      <w:sz w:val="24"/>
      <w:szCs w:val="24"/>
    </w:rPr>
  </w:style>
  <w:style w:type="character" w:customStyle="1" w:styleId="41">
    <w:name w:val="标题 8 Char"/>
    <w:link w:val="9"/>
    <w:qFormat/>
    <w:uiPriority w:val="0"/>
    <w:rPr>
      <w:rFonts w:ascii="Arial" w:hAnsi="Arial" w:eastAsia="黑体" w:cs="Times New Roman"/>
      <w:sz w:val="24"/>
      <w:szCs w:val="24"/>
    </w:rPr>
  </w:style>
  <w:style w:type="character" w:customStyle="1" w:styleId="42">
    <w:name w:val="标题 9 Char"/>
    <w:link w:val="10"/>
    <w:qFormat/>
    <w:uiPriority w:val="0"/>
    <w:rPr>
      <w:rFonts w:ascii="Arial" w:hAnsi="Arial" w:eastAsia="黑体" w:cs="Times New Roman"/>
      <w:szCs w:val="21"/>
    </w:rPr>
  </w:style>
  <w:style w:type="character" w:customStyle="1" w:styleId="43">
    <w:name w:val="页眉 Char"/>
    <w:link w:val="18"/>
    <w:qFormat/>
    <w:uiPriority w:val="99"/>
    <w:rPr>
      <w:rFonts w:ascii="Times New Roman" w:hAnsi="Times New Roman" w:eastAsia="宋体" w:cs="Times New Roman"/>
      <w:sz w:val="18"/>
      <w:szCs w:val="18"/>
    </w:rPr>
  </w:style>
  <w:style w:type="character" w:customStyle="1" w:styleId="44">
    <w:name w:val="页脚 Char"/>
    <w:link w:val="17"/>
    <w:qFormat/>
    <w:uiPriority w:val="99"/>
    <w:rPr>
      <w:rFonts w:ascii="宋体" w:hAnsi="Times New Roman" w:eastAsia="宋体" w:cs="Times New Roman"/>
      <w:sz w:val="18"/>
      <w:szCs w:val="18"/>
    </w:rPr>
  </w:style>
  <w:style w:type="character" w:customStyle="1" w:styleId="45">
    <w:name w:val="批注框文本 Char"/>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Char"/>
    <w:link w:val="46"/>
    <w:qFormat/>
    <w:uiPriority w:val="29"/>
    <w:rPr>
      <w:i/>
      <w:iCs/>
      <w:color w:val="000000"/>
    </w:rPr>
  </w:style>
  <w:style w:type="character" w:customStyle="1" w:styleId="48">
    <w:name w:val="标题 Char"/>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uiPriority w:val="0"/>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Lines="25"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Lines="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Lines="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Char"/>
    <w:link w:val="13"/>
    <w:qFormat/>
    <w:uiPriority w:val="0"/>
    <w:rPr>
      <w:rFonts w:ascii="Times New Roman" w:hAnsi="Times New Roman" w:eastAsia="宋体" w:cs="Times New Roman"/>
      <w:szCs w:val="20"/>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ind w:left="0" w:firstLine="200"/>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99">
    <w:name w:val="脚注文本 Char"/>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Lines="50" w:afterLines="50"/>
      <w:ind w:left="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Lines="0" w:afterLines="0"/>
      <w:outlineLvl w:val="9"/>
    </w:pPr>
    <w:rPr>
      <w:rFonts w:ascii="宋体" w:eastAsia="宋体"/>
    </w:rPr>
  </w:style>
  <w:style w:type="paragraph" w:customStyle="1" w:styleId="163">
    <w:name w:val="标准文件_五级无标题"/>
    <w:basedOn w:val="103"/>
    <w:qFormat/>
    <w:uiPriority w:val="0"/>
    <w:pPr>
      <w:spacing w:beforeLines="0" w:afterLines="0"/>
      <w:outlineLvl w:val="9"/>
    </w:pPr>
    <w:rPr>
      <w:rFonts w:ascii="宋体" w:eastAsia="宋体"/>
    </w:rPr>
  </w:style>
  <w:style w:type="paragraph" w:customStyle="1" w:styleId="164">
    <w:name w:val="标准文件_三级无标题"/>
    <w:basedOn w:val="94"/>
    <w:qFormat/>
    <w:uiPriority w:val="0"/>
    <w:pPr>
      <w:spacing w:beforeLines="0" w:afterLines="0"/>
      <w:outlineLvl w:val="9"/>
    </w:pPr>
    <w:rPr>
      <w:rFonts w:ascii="宋体" w:eastAsia="宋体"/>
    </w:rPr>
  </w:style>
  <w:style w:type="paragraph" w:customStyle="1" w:styleId="165">
    <w:name w:val="标准文件_二级无标题"/>
    <w:basedOn w:val="65"/>
    <w:qFormat/>
    <w:uiPriority w:val="0"/>
    <w:pPr>
      <w:spacing w:beforeLines="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Lines="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Lines="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Lines="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Lines="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Lines="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Lines="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Lines="0" w:afterLines="0" w:line="276" w:lineRule="auto"/>
      <w:outlineLvl w:val="9"/>
    </w:pPr>
    <w:rPr>
      <w:rFonts w:ascii="宋体" w:eastAsia="宋体"/>
    </w:rPr>
  </w:style>
  <w:style w:type="paragraph" w:customStyle="1" w:styleId="212">
    <w:name w:val="标准文件_附录二级无标题"/>
    <w:basedOn w:val="79"/>
    <w:qFormat/>
    <w:uiPriority w:val="0"/>
    <w:pPr>
      <w:spacing w:beforeLines="0" w:afterLines="0" w:line="276" w:lineRule="auto"/>
      <w:outlineLvl w:val="9"/>
    </w:pPr>
    <w:rPr>
      <w:rFonts w:ascii="宋体" w:eastAsia="宋体"/>
    </w:rPr>
  </w:style>
  <w:style w:type="paragraph" w:customStyle="1" w:styleId="213">
    <w:name w:val="标准文件_附录三级无标题"/>
    <w:basedOn w:val="81"/>
    <w:qFormat/>
    <w:uiPriority w:val="0"/>
    <w:pPr>
      <w:spacing w:beforeLines="0" w:afterLines="0" w:line="276" w:lineRule="auto"/>
      <w:outlineLvl w:val="9"/>
    </w:pPr>
    <w:rPr>
      <w:rFonts w:ascii="宋体" w:eastAsia="宋体"/>
    </w:rPr>
  </w:style>
  <w:style w:type="paragraph" w:customStyle="1" w:styleId="214">
    <w:name w:val="标准文件_附录四级无标题"/>
    <w:basedOn w:val="82"/>
    <w:qFormat/>
    <w:uiPriority w:val="0"/>
    <w:pPr>
      <w:spacing w:beforeLines="0" w:afterLines="0" w:line="276" w:lineRule="auto"/>
      <w:outlineLvl w:val="9"/>
    </w:pPr>
    <w:rPr>
      <w:rFonts w:ascii="宋体" w:eastAsia="宋体"/>
    </w:rPr>
  </w:style>
  <w:style w:type="paragraph" w:customStyle="1" w:styleId="215">
    <w:name w:val="标准文件_附录五级无标题"/>
    <w:basedOn w:val="84"/>
    <w:qFormat/>
    <w:uiPriority w:val="0"/>
    <w:pPr>
      <w:spacing w:beforeLines="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Lines="0" w:afterLines="0" w:line="276" w:lineRule="auto"/>
    </w:pPr>
    <w:rPr>
      <w:rFonts w:ascii="宋体" w:eastAsia="宋体"/>
    </w:rPr>
  </w:style>
  <w:style w:type="paragraph" w:customStyle="1" w:styleId="217">
    <w:name w:val="标准文件_引言二级无标题"/>
    <w:basedOn w:val="201"/>
    <w:next w:val="56"/>
    <w:qFormat/>
    <w:uiPriority w:val="0"/>
    <w:pPr>
      <w:spacing w:beforeLines="0" w:afterLines="0" w:line="276" w:lineRule="auto"/>
    </w:pPr>
    <w:rPr>
      <w:rFonts w:ascii="宋体" w:eastAsia="宋体"/>
    </w:rPr>
  </w:style>
  <w:style w:type="paragraph" w:customStyle="1" w:styleId="218">
    <w:name w:val="标准文件_引言三级无标题"/>
    <w:basedOn w:val="202"/>
    <w:next w:val="56"/>
    <w:qFormat/>
    <w:uiPriority w:val="0"/>
    <w:pPr>
      <w:spacing w:beforeLines="0" w:afterLines="0" w:line="276" w:lineRule="auto"/>
    </w:pPr>
    <w:rPr>
      <w:rFonts w:ascii="宋体" w:eastAsia="宋体"/>
    </w:rPr>
  </w:style>
  <w:style w:type="paragraph" w:customStyle="1" w:styleId="219">
    <w:name w:val="标准文件_引言四级无标题"/>
    <w:basedOn w:val="203"/>
    <w:next w:val="56"/>
    <w:qFormat/>
    <w:uiPriority w:val="0"/>
    <w:pPr>
      <w:spacing w:beforeLines="0" w:afterLines="0" w:line="276" w:lineRule="auto"/>
    </w:pPr>
    <w:rPr>
      <w:rFonts w:ascii="宋体" w:eastAsia="宋体"/>
    </w:rPr>
  </w:style>
  <w:style w:type="paragraph" w:customStyle="1" w:styleId="220">
    <w:name w:val="标准文件_引言五级无标题"/>
    <w:basedOn w:val="204"/>
    <w:next w:val="56"/>
    <w:qFormat/>
    <w:uiPriority w:val="0"/>
    <w:pPr>
      <w:spacing w:beforeLines="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E3C687D4E014B28BF468C38F0D77A92"/>
        <w:style w:val=""/>
        <w:category>
          <w:name w:val="常规"/>
          <w:gallery w:val="placeholder"/>
        </w:category>
        <w:types>
          <w:type w:val="bbPlcHdr"/>
        </w:types>
        <w:behaviors>
          <w:behavior w:val="content"/>
        </w:behaviors>
        <w:description w:val=""/>
        <w:guid w:val="{1AEB9224-AAFC-4A8C-A880-1D52582C831A}"/>
      </w:docPartPr>
      <w:docPartBody>
        <w:p w14:paraId="09262B43">
          <w:pPr>
            <w:pStyle w:val="5"/>
          </w:pPr>
          <w:r>
            <w:rPr>
              <w:rStyle w:val="4"/>
              <w:rFonts w:hint="eastAsia"/>
            </w:rPr>
            <w:t>单击或点击此处输入文字。</w:t>
          </w:r>
        </w:p>
      </w:docPartBody>
    </w:docPart>
    <w:docPart>
      <w:docPartPr>
        <w:name w:val="2092F4D7FA854611BF05BEA00A159C92"/>
        <w:style w:val=""/>
        <w:category>
          <w:name w:val="常规"/>
          <w:gallery w:val="placeholder"/>
        </w:category>
        <w:types>
          <w:type w:val="bbPlcHdr"/>
        </w:types>
        <w:behaviors>
          <w:behavior w:val="content"/>
        </w:behaviors>
        <w:description w:val=""/>
        <w:guid w:val="{C5297BD9-D16E-4D52-9798-17CD84D9A509}"/>
      </w:docPartPr>
      <w:docPartBody>
        <w:p w14:paraId="73768743">
          <w:pPr>
            <w:pStyle w:val="6"/>
          </w:pPr>
          <w:r>
            <w:rPr>
              <w:rStyle w:val="4"/>
              <w:rFonts w:hint="eastAsia"/>
            </w:rPr>
            <w:t>选择一项。</w:t>
          </w:r>
        </w:p>
      </w:docPartBody>
    </w:docPart>
    <w:docPart>
      <w:docPartPr>
        <w:name w:val="58437BFAE6204AA2B0A23F96235585D0"/>
        <w:style w:val=""/>
        <w:category>
          <w:name w:val="常规"/>
          <w:gallery w:val="placeholder"/>
        </w:category>
        <w:types>
          <w:type w:val="bbPlcHdr"/>
        </w:types>
        <w:behaviors>
          <w:behavior w:val="content"/>
        </w:behaviors>
        <w:description w:val=""/>
        <w:guid w:val="{CF491D18-D9F3-4106-B375-9374B4325DAC}"/>
      </w:docPartPr>
      <w:docPartBody>
        <w:p w14:paraId="27860A7C">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954C5"/>
    <w:rsid w:val="000B29CA"/>
    <w:rsid w:val="000C41C3"/>
    <w:rsid w:val="000F1311"/>
    <w:rsid w:val="001A73A0"/>
    <w:rsid w:val="0037223C"/>
    <w:rsid w:val="003954C5"/>
    <w:rsid w:val="0043762C"/>
    <w:rsid w:val="00743410"/>
    <w:rsid w:val="008405C7"/>
    <w:rsid w:val="00846CAD"/>
    <w:rsid w:val="00925770"/>
    <w:rsid w:val="00987051"/>
    <w:rsid w:val="00B77452"/>
    <w:rsid w:val="00BA1A69"/>
    <w:rsid w:val="00BA5377"/>
    <w:rsid w:val="00D75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CE3C687D4E014B28BF468C38F0D77A9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2092F4D7FA854611BF05BEA00A159C92"/>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8437BFAE6204AA2B0A23F96235585D0"/>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87EBAE-365B-49E9-A849-47D412227AB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2738</Words>
  <Characters>3379</Characters>
  <Lines>30</Lines>
  <Paragraphs>8</Paragraphs>
  <TotalTime>202</TotalTime>
  <ScaleCrop>false</ScaleCrop>
  <LinksUpToDate>false</LinksUpToDate>
  <CharactersWithSpaces>3574</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2021-10-09T02:01:00Z</dcterms:created>
  <dc:creator>a</dc:creator>
  <dc:description>&lt;config cover="true" show_menu="true" version="1.0.0" doctype="SDKXY"&gt;_x000d_
&lt;/config&gt;</dc:description>
  <cp:lastModifiedBy>徐卫平</cp:lastModifiedBy>
  <cp:lastPrinted>2020-08-30T10:00:00Z</cp:lastPrinted>
  <dcterms:modified xsi:type="dcterms:W3CDTF">2024-11-21T01:29:51Z</dcterms:modified>
  <dc:title>地方标准</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FEEE2ACF4C6D47F1BCA1661840021AA6_12</vt:lpwstr>
  </property>
</Properties>
</file>