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821456">
        <w:tc>
          <w:tcPr>
            <w:tcW w:w="509" w:type="dxa"/>
          </w:tcPr>
          <w:p w:rsidR="00821456" w:rsidRDefault="00000000">
            <w:pPr>
              <w:pStyle w:val="affff6"/>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821456" w:rsidRDefault="00000000">
            <w:pPr>
              <w:pStyle w:val="affff6"/>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65.150 </w:t>
            </w:r>
            <w:r>
              <w:rPr>
                <w:rFonts w:ascii="黑体" w:eastAsia="黑体" w:hAnsi="黑体"/>
                <w:sz w:val="21"/>
                <w:szCs w:val="21"/>
              </w:rPr>
              <w:fldChar w:fldCharType="end"/>
            </w:r>
            <w:bookmarkEnd w:id="0"/>
          </w:p>
        </w:tc>
      </w:tr>
      <w:tr w:rsidR="00821456">
        <w:tc>
          <w:tcPr>
            <w:tcW w:w="509" w:type="dxa"/>
          </w:tcPr>
          <w:p w:rsidR="00821456"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821456"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50</w:t>
            </w:r>
            <w:r>
              <w:rPr>
                <w:rFonts w:ascii="黑体" w:eastAsia="黑体" w:hAnsi="黑体"/>
                <w:sz w:val="21"/>
                <w:szCs w:val="21"/>
              </w:rPr>
              <w:fldChar w:fldCharType="end"/>
            </w:r>
            <w:bookmarkEnd w:id="1"/>
          </w:p>
        </w:tc>
      </w:tr>
    </w:tbl>
    <w:tbl>
      <w:tblPr>
        <w:tblStyle w:val="affffd"/>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821456">
        <w:tc>
          <w:tcPr>
            <w:tcW w:w="6407" w:type="dxa"/>
          </w:tcPr>
          <w:p w:rsidR="00821456" w:rsidRDefault="00000000">
            <w:pPr>
              <w:pStyle w:val="af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rPr>
                <w:rFonts w:hint="eastAsia"/>
              </w:rPr>
              <w:t>07</w:t>
            </w:r>
            <w:r>
              <w:fldChar w:fldCharType="end"/>
            </w:r>
            <w:bookmarkEnd w:id="3"/>
          </w:p>
        </w:tc>
      </w:tr>
    </w:tbl>
    <w:p w:rsidR="00821456" w:rsidRDefault="00000000">
      <w:pPr>
        <w:pStyle w:val="afffff6"/>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连云港市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821456" w:rsidRDefault="00000000">
      <w:pPr>
        <w:pStyle w:val="affffffffff8"/>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rFonts w:hint="eastAsia"/>
        </w:rPr>
        <w:t>07</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sidR="008763C8">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sidR="008763C8">
        <w:rPr>
          <w:rFonts w:hint="eastAsia"/>
        </w:rPr>
        <w:t>XXXX</w:t>
      </w:r>
      <w:r>
        <w:fldChar w:fldCharType="end"/>
      </w:r>
      <w:bookmarkEnd w:id="7"/>
    </w:p>
    <w:p w:rsidR="00821456" w:rsidRDefault="00000000">
      <w:pPr>
        <w:pStyle w:val="affffffffff9"/>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821456"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821456" w:rsidRDefault="00821456">
      <w:pPr>
        <w:pStyle w:val="afffff6"/>
        <w:framePr w:w="9639" w:h="6976" w:hRule="exact" w:hSpace="0" w:vSpace="0" w:wrap="around" w:hAnchor="page" w:y="6408"/>
        <w:jc w:val="center"/>
        <w:rPr>
          <w:rFonts w:ascii="黑体" w:eastAsia="黑体" w:hAnsi="黑体" w:hint="eastAsia"/>
          <w:b w:val="0"/>
          <w:bCs w:val="0"/>
          <w:w w:val="100"/>
        </w:rPr>
      </w:pPr>
    </w:p>
    <w:p w:rsidR="00821456" w:rsidRDefault="00000000">
      <w:pPr>
        <w:pStyle w:val="affffffffffa"/>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8763C8">
        <w:rPr>
          <w:rFonts w:hint="eastAsia"/>
        </w:rPr>
        <w:t>草鱼成鱼池塘养殖技术规程</w:t>
      </w:r>
      <w:r>
        <w:fldChar w:fldCharType="end"/>
      </w:r>
      <w:bookmarkEnd w:id="9"/>
    </w:p>
    <w:p w:rsidR="00821456" w:rsidRDefault="00821456">
      <w:pPr>
        <w:framePr w:w="9639" w:h="6974" w:hRule="exact" w:wrap="around" w:vAnchor="page" w:hAnchor="page" w:x="1419" w:y="6408" w:anchorLock="1"/>
        <w:ind w:left="-1418"/>
      </w:pPr>
    </w:p>
    <w:p w:rsidR="00821456" w:rsidRDefault="00000000">
      <w:pPr>
        <w:pStyle w:val="afffffffe"/>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Technical </w:t>
      </w:r>
      <w:r>
        <w:rPr>
          <w:rFonts w:ascii="黑体" w:eastAsia="黑体" w:hAnsi="黑体" w:hint="eastAsia"/>
          <w:szCs w:val="28"/>
        </w:rPr>
        <w:t>code of practice for</w:t>
      </w:r>
      <w:r>
        <w:rPr>
          <w:rFonts w:ascii="黑体" w:eastAsia="黑体" w:hAnsi="黑体"/>
          <w:szCs w:val="28"/>
        </w:rPr>
        <w:t xml:space="preserve"> </w:t>
      </w:r>
      <w:r>
        <w:rPr>
          <w:rFonts w:ascii="黑体" w:eastAsia="黑体" w:hAnsi="黑体" w:hint="eastAsia"/>
          <w:szCs w:val="28"/>
        </w:rPr>
        <w:t>c</w:t>
      </w:r>
      <w:r>
        <w:rPr>
          <w:rFonts w:ascii="黑体" w:eastAsia="黑体" w:hAnsi="黑体"/>
          <w:szCs w:val="28"/>
        </w:rPr>
        <w:t xml:space="preserve">ultivating </w:t>
      </w:r>
      <w:r>
        <w:rPr>
          <w:rFonts w:ascii="黑体" w:eastAsia="黑体" w:hAnsi="黑体" w:hint="eastAsia"/>
          <w:szCs w:val="28"/>
        </w:rPr>
        <w:t>a</w:t>
      </w:r>
      <w:r>
        <w:rPr>
          <w:rFonts w:ascii="黑体" w:eastAsia="黑体" w:hAnsi="黑体"/>
          <w:szCs w:val="28"/>
        </w:rPr>
        <w:t xml:space="preserve">dult </w:t>
      </w:r>
      <w:r>
        <w:rPr>
          <w:rFonts w:ascii="黑体" w:eastAsia="黑体" w:hAnsi="黑体" w:hint="eastAsia"/>
          <w:szCs w:val="28"/>
        </w:rPr>
        <w:t>g</w:t>
      </w:r>
      <w:r>
        <w:rPr>
          <w:rFonts w:ascii="黑体" w:eastAsia="黑体" w:hAnsi="黑体"/>
          <w:szCs w:val="28"/>
        </w:rPr>
        <w:t xml:space="preserve">rass </w:t>
      </w:r>
      <w:r>
        <w:rPr>
          <w:rFonts w:ascii="黑体" w:eastAsia="黑体" w:hAnsi="黑体" w:hint="eastAsia"/>
          <w:szCs w:val="28"/>
        </w:rPr>
        <w:t>c</w:t>
      </w:r>
      <w:r>
        <w:rPr>
          <w:rFonts w:ascii="黑体" w:eastAsia="黑体" w:hAnsi="黑体"/>
          <w:szCs w:val="28"/>
        </w:rPr>
        <w:t xml:space="preserve">arp in </w:t>
      </w:r>
      <w:r>
        <w:rPr>
          <w:rFonts w:ascii="黑体" w:eastAsia="黑体" w:hAnsi="黑体" w:hint="eastAsia"/>
          <w:szCs w:val="28"/>
        </w:rPr>
        <w:t>p</w:t>
      </w:r>
      <w:r>
        <w:rPr>
          <w:rFonts w:ascii="黑体" w:eastAsia="黑体" w:hAnsi="黑体"/>
          <w:szCs w:val="28"/>
        </w:rPr>
        <w:t>onds</w:t>
      </w:r>
      <w:r>
        <w:rPr>
          <w:rFonts w:ascii="黑体" w:eastAsia="黑体" w:hAnsi="黑体"/>
          <w:szCs w:val="28"/>
        </w:rPr>
        <w:fldChar w:fldCharType="end"/>
      </w:r>
      <w:bookmarkEnd w:id="10"/>
    </w:p>
    <w:p w:rsidR="00821456" w:rsidRDefault="00821456">
      <w:pPr>
        <w:framePr w:w="9639" w:h="6974" w:hRule="exact" w:wrap="around" w:vAnchor="page" w:hAnchor="page" w:x="1419" w:y="6408" w:anchorLock="1"/>
        <w:spacing w:line="760" w:lineRule="exact"/>
        <w:ind w:left="-1418"/>
      </w:pPr>
    </w:p>
    <w:p w:rsidR="00821456" w:rsidRDefault="00821456">
      <w:pPr>
        <w:pStyle w:val="afffffffe"/>
        <w:framePr w:w="9639" w:h="6974" w:hRule="exact" w:wrap="around" w:vAnchor="page" w:hAnchor="page" w:x="1419" w:y="6408" w:anchorLock="1"/>
        <w:textAlignment w:val="bottom"/>
        <w:rPr>
          <w:rFonts w:eastAsia="黑体"/>
          <w:szCs w:val="28"/>
        </w:rPr>
      </w:pPr>
    </w:p>
    <w:p w:rsidR="00821456" w:rsidRDefault="00000000">
      <w:pPr>
        <w:pStyle w:val="a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821456" w:rsidRDefault="00000000">
      <w:pPr>
        <w:pStyle w:val="afffffffe"/>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821456" w:rsidRDefault="00000000">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821456" w:rsidRDefault="00000000">
      <w:pPr>
        <w:pStyle w:val="affffffffff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8763C8">
        <w:rPr>
          <w:rFonts w:ascii="黑体" w:hint="eastAsia"/>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821456" w:rsidRDefault="00000000">
      <w:pPr>
        <w:pStyle w:val="affffffffff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8763C8">
        <w:rPr>
          <w:rFonts w:ascii="黑体" w:hint="eastAsia"/>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821456" w:rsidRDefault="00000000">
      <w:pPr>
        <w:pStyle w:val="affffffffe"/>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连云港市场监督管理局</w:t>
      </w:r>
      <w:r>
        <w:rPr>
          <w:rFonts w:hAnsi="黑体"/>
          <w:w w:val="100"/>
          <w:sz w:val="28"/>
        </w:rPr>
        <w:fldChar w:fldCharType="end"/>
      </w:r>
      <w:bookmarkEnd w:id="20"/>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rsidR="00821456" w:rsidRDefault="00000000">
      <w:pPr>
        <w:rPr>
          <w:rFonts w:ascii="宋体" w:hAnsi="宋体" w:hint="eastAsia"/>
          <w:sz w:val="28"/>
          <w:szCs w:val="28"/>
        </w:rPr>
        <w:sectPr w:rsidR="00821456">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59264"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59264;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821456" w:rsidRDefault="00000000">
      <w:pPr>
        <w:pStyle w:val="a6"/>
        <w:spacing w:before="900" w:after="468"/>
      </w:pPr>
      <w:bookmarkStart w:id="21" w:name="BookMark2"/>
      <w:r>
        <w:rPr>
          <w:spacing w:val="320"/>
        </w:rPr>
        <w:lastRenderedPageBreak/>
        <w:t>前</w:t>
      </w:r>
      <w:r>
        <w:t>言</w:t>
      </w:r>
    </w:p>
    <w:p w:rsidR="00821456" w:rsidRDefault="00000000">
      <w:pPr>
        <w:pStyle w:val="afffffb"/>
        <w:ind w:firstLine="420"/>
      </w:pPr>
      <w:r>
        <w:rPr>
          <w:rFonts w:hint="eastAsia"/>
        </w:rPr>
        <w:t>本文件按照GB/T 1.1—2020《标准化工作导则  第1部分：标准化文件的结构和起草规则》的规定起草。</w:t>
      </w:r>
    </w:p>
    <w:p w:rsidR="00821456" w:rsidRDefault="00000000">
      <w:pPr>
        <w:pStyle w:val="afffffb"/>
        <w:ind w:firstLine="420"/>
      </w:pPr>
      <w:r>
        <w:rPr>
          <w:rFonts w:hint="eastAsia"/>
        </w:rPr>
        <w:t>请注意本文件的某些内容可能涉及专利。本文件的发布机构不承担识别专利的责任。</w:t>
      </w:r>
    </w:p>
    <w:p w:rsidR="00821456" w:rsidRDefault="00000000">
      <w:pPr>
        <w:pStyle w:val="afffffb"/>
        <w:ind w:firstLine="420"/>
        <w:rPr>
          <w:color w:val="000000" w:themeColor="text1"/>
        </w:rPr>
      </w:pPr>
      <w:r>
        <w:rPr>
          <w:rFonts w:hint="eastAsia"/>
          <w:color w:val="000000" w:themeColor="text1"/>
        </w:rPr>
        <w:t>本文件由连云港市农业农村局提出并组织实施与监督。</w:t>
      </w:r>
    </w:p>
    <w:p w:rsidR="00821456" w:rsidRDefault="00000000">
      <w:pPr>
        <w:pStyle w:val="afffffb"/>
        <w:ind w:firstLine="420"/>
      </w:pPr>
      <w:r>
        <w:rPr>
          <w:rFonts w:hint="eastAsia"/>
        </w:rPr>
        <w:t>本文件由连云港市农业标准化技术委员会归口。</w:t>
      </w:r>
    </w:p>
    <w:p w:rsidR="00821456" w:rsidRDefault="00000000">
      <w:pPr>
        <w:pStyle w:val="afffffb"/>
        <w:ind w:firstLine="420"/>
      </w:pPr>
      <w:r>
        <w:rPr>
          <w:rFonts w:hint="eastAsia"/>
        </w:rPr>
        <w:t>本文件起草单位：江苏香河农业开发有限公司、连云港市海洋与渔业发展促进中心、连云港市绿色食品办公室。</w:t>
      </w:r>
    </w:p>
    <w:p w:rsidR="00821456" w:rsidRDefault="00000000">
      <w:pPr>
        <w:pStyle w:val="afffffb"/>
        <w:ind w:firstLine="420"/>
      </w:pPr>
      <w:r>
        <w:rPr>
          <w:rFonts w:hint="eastAsia"/>
        </w:rPr>
        <w:t>本文件主要起草人：肖茂春、李梦晖、王超、甘惠芳、宋阳、许金玲、韩善红。</w:t>
      </w:r>
    </w:p>
    <w:p w:rsidR="00821456" w:rsidRDefault="00821456">
      <w:pPr>
        <w:pStyle w:val="afffffb"/>
        <w:ind w:firstLine="420"/>
      </w:pPr>
    </w:p>
    <w:p w:rsidR="00821456" w:rsidRDefault="00821456">
      <w:pPr>
        <w:pStyle w:val="afffffb"/>
        <w:ind w:firstLine="420"/>
        <w:sectPr w:rsidR="00821456">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type="lines" w:linePitch="312"/>
        </w:sectPr>
      </w:pPr>
    </w:p>
    <w:p w:rsidR="00821456" w:rsidRDefault="00821456">
      <w:pPr>
        <w:spacing w:line="20" w:lineRule="exact"/>
        <w:jc w:val="center"/>
        <w:rPr>
          <w:rFonts w:ascii="黑体" w:eastAsia="黑体" w:hAnsi="黑体" w:hint="eastAsia"/>
          <w:sz w:val="32"/>
          <w:szCs w:val="32"/>
        </w:rPr>
      </w:pPr>
      <w:bookmarkStart w:id="22" w:name="BookMark4"/>
      <w:bookmarkEnd w:id="21"/>
    </w:p>
    <w:p w:rsidR="00821456" w:rsidRDefault="00821456">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0ECFF88CF7BA47E5848F0264D4458585"/>
        </w:placeholder>
      </w:sdtPr>
      <w:sdtContent>
        <w:p w:rsidR="00821456" w:rsidRDefault="005E274D" w:rsidP="005E274D">
          <w:pPr>
            <w:pStyle w:val="afffffffffe"/>
            <w:spacing w:beforeLines="100" w:before="312" w:afterLines="220" w:after="686"/>
            <w:rPr>
              <w:rFonts w:hint="eastAsia"/>
            </w:rPr>
          </w:pPr>
          <w:r>
            <w:rPr>
              <w:rFonts w:hint="eastAsia"/>
            </w:rPr>
            <w:t>草鱼成鱼池塘养殖技术规程</w:t>
          </w:r>
        </w:p>
      </w:sdtContent>
    </w:sdt>
    <w:p w:rsidR="00821456" w:rsidRDefault="00000000">
      <w:pPr>
        <w:pStyle w:val="afff2"/>
        <w:spacing w:before="312" w:after="312"/>
      </w:pPr>
      <w:bookmarkStart w:id="24" w:name="_Toc24884211"/>
      <w:bookmarkStart w:id="25" w:name="_Toc26986530"/>
      <w:bookmarkStart w:id="26" w:name="_Toc17233325"/>
      <w:bookmarkStart w:id="27" w:name="_Toc24884218"/>
      <w:bookmarkStart w:id="28" w:name="_Toc26986771"/>
      <w:bookmarkStart w:id="29" w:name="_Toc17233333"/>
      <w:bookmarkStart w:id="30" w:name="_Toc26718930"/>
      <w:bookmarkStart w:id="31" w:name="_Toc26648465"/>
      <w:bookmarkStart w:id="32" w:name="_Toc97191423"/>
      <w:bookmarkEnd w:id="23"/>
      <w:r>
        <w:rPr>
          <w:rFonts w:hint="eastAsia"/>
        </w:rPr>
        <w:t>范围</w:t>
      </w:r>
      <w:bookmarkEnd w:id="24"/>
      <w:bookmarkEnd w:id="25"/>
      <w:bookmarkEnd w:id="26"/>
      <w:bookmarkEnd w:id="27"/>
      <w:bookmarkEnd w:id="28"/>
      <w:bookmarkEnd w:id="29"/>
      <w:bookmarkEnd w:id="30"/>
      <w:bookmarkEnd w:id="31"/>
      <w:bookmarkEnd w:id="32"/>
    </w:p>
    <w:p w:rsidR="00821456" w:rsidRDefault="00000000">
      <w:pPr>
        <w:pStyle w:val="afffffb"/>
        <w:ind w:firstLine="420"/>
      </w:pPr>
      <w:bookmarkStart w:id="33" w:name="_Toc24884212"/>
      <w:bookmarkStart w:id="34" w:name="_Toc17233326"/>
      <w:bookmarkStart w:id="35" w:name="_Toc26648466"/>
      <w:bookmarkStart w:id="36" w:name="_Toc24884219"/>
      <w:bookmarkStart w:id="37" w:name="_Toc17233334"/>
      <w:r>
        <w:rPr>
          <w:rFonts w:hint="eastAsia"/>
        </w:rPr>
        <w:t>本文件规定了池塘草鱼成鱼养殖的池塘条件、养殖前准备、鱼种放养、饲养管理、日常管理、病害防治、尾水排放、废弃物处理、捕捞、养殖档案管理等要求。</w:t>
      </w:r>
    </w:p>
    <w:p w:rsidR="00821456" w:rsidRDefault="00000000">
      <w:pPr>
        <w:pStyle w:val="afffffb"/>
        <w:ind w:firstLine="420"/>
      </w:pPr>
      <w:r>
        <w:rPr>
          <w:rFonts w:hint="eastAsia"/>
        </w:rPr>
        <w:t>本文件适用于池塘条件下草鱼成鱼</w:t>
      </w:r>
      <w:r>
        <w:rPr>
          <w:rFonts w:hint="eastAsia"/>
          <w:color w:val="000000" w:themeColor="text1"/>
        </w:rPr>
        <w:t>的养</w:t>
      </w:r>
      <w:r>
        <w:rPr>
          <w:rFonts w:hint="eastAsia"/>
        </w:rPr>
        <w:t>殖。</w:t>
      </w:r>
    </w:p>
    <w:p w:rsidR="00821456" w:rsidRDefault="00000000">
      <w:pPr>
        <w:pStyle w:val="afff2"/>
        <w:spacing w:before="312" w:after="312"/>
      </w:pPr>
      <w:bookmarkStart w:id="38" w:name="_Toc26986772"/>
      <w:bookmarkStart w:id="39" w:name="_Toc26986531"/>
      <w:bookmarkStart w:id="40" w:name="_Toc97191424"/>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67CB43059EA04935883D980D5BDFBFF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21456" w:rsidRDefault="00000000">
          <w:pPr>
            <w:pStyle w:val="af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21456" w:rsidRDefault="00000000">
      <w:pPr>
        <w:pStyle w:val="afffffb"/>
        <w:ind w:firstLine="420"/>
        <w:rPr>
          <w:color w:val="000000" w:themeColor="text1"/>
        </w:rPr>
      </w:pPr>
      <w:r>
        <w:rPr>
          <w:rFonts w:hint="eastAsia"/>
          <w:color w:val="000000" w:themeColor="text1"/>
        </w:rPr>
        <w:t>GB 11607  渔业水质标准</w:t>
      </w:r>
    </w:p>
    <w:p w:rsidR="00821456" w:rsidRDefault="00000000">
      <w:pPr>
        <w:pStyle w:val="afffffb"/>
        <w:ind w:firstLine="420"/>
        <w:rPr>
          <w:color w:val="000000" w:themeColor="text1"/>
        </w:rPr>
      </w:pPr>
      <w:r>
        <w:rPr>
          <w:rFonts w:hint="eastAsia"/>
          <w:color w:val="000000" w:themeColor="text1"/>
        </w:rPr>
        <w:t>GB 11776  草鱼鱼苗、鱼种</w:t>
      </w:r>
    </w:p>
    <w:p w:rsidR="00821456" w:rsidRDefault="00000000">
      <w:pPr>
        <w:pStyle w:val="afffffb"/>
        <w:ind w:firstLine="420"/>
        <w:rPr>
          <w:color w:val="000000" w:themeColor="text1"/>
        </w:rPr>
      </w:pPr>
      <w:r>
        <w:rPr>
          <w:rFonts w:hint="eastAsia"/>
          <w:color w:val="000000" w:themeColor="text1"/>
        </w:rPr>
        <w:t>GB/T 20014.13  良好农业规范 第13部分：水产养殖基础控制点与符合性规范</w:t>
      </w:r>
    </w:p>
    <w:p w:rsidR="00821456" w:rsidRDefault="00000000">
      <w:pPr>
        <w:pStyle w:val="afffffb"/>
        <w:ind w:firstLine="420"/>
        <w:rPr>
          <w:color w:val="000000" w:themeColor="text1"/>
        </w:rPr>
      </w:pPr>
      <w:r>
        <w:rPr>
          <w:rFonts w:hint="eastAsia"/>
          <w:color w:val="000000" w:themeColor="text1"/>
        </w:rPr>
        <w:t>GB/T 20014.14  良好农业规范 第14部分：水产池塘养殖基础控制点与符合性规范</w:t>
      </w:r>
    </w:p>
    <w:p w:rsidR="00821456" w:rsidRDefault="00000000">
      <w:pPr>
        <w:pStyle w:val="afffffb"/>
        <w:ind w:firstLine="420"/>
        <w:rPr>
          <w:color w:val="000000" w:themeColor="text1"/>
        </w:rPr>
      </w:pPr>
      <w:r>
        <w:rPr>
          <w:rFonts w:hint="eastAsia"/>
          <w:color w:val="000000" w:themeColor="text1"/>
        </w:rPr>
        <w:t>GB/T 36205  草鱼配合饲料</w:t>
      </w:r>
    </w:p>
    <w:p w:rsidR="00821456" w:rsidRDefault="00000000">
      <w:pPr>
        <w:pStyle w:val="afffffb"/>
        <w:ind w:firstLine="420"/>
        <w:rPr>
          <w:color w:val="000000" w:themeColor="text1"/>
        </w:rPr>
      </w:pPr>
      <w:r>
        <w:rPr>
          <w:rFonts w:hint="eastAsia"/>
          <w:color w:val="000000" w:themeColor="text1"/>
        </w:rPr>
        <w:t>NY/T 391  绿色食品 产地环境质量</w:t>
      </w:r>
    </w:p>
    <w:p w:rsidR="00821456" w:rsidRDefault="00000000">
      <w:pPr>
        <w:pStyle w:val="afffffb"/>
        <w:ind w:firstLine="420"/>
        <w:rPr>
          <w:color w:val="000000" w:themeColor="text1"/>
        </w:rPr>
      </w:pPr>
      <w:r>
        <w:rPr>
          <w:rFonts w:hint="eastAsia"/>
          <w:color w:val="000000" w:themeColor="text1"/>
        </w:rPr>
        <w:t>NY/T 393  绿色食品 农药使用准则</w:t>
      </w:r>
    </w:p>
    <w:p w:rsidR="00821456" w:rsidRDefault="00000000">
      <w:pPr>
        <w:pStyle w:val="afffffb"/>
        <w:ind w:firstLine="420"/>
        <w:rPr>
          <w:color w:val="000000" w:themeColor="text1"/>
        </w:rPr>
      </w:pPr>
      <w:r>
        <w:rPr>
          <w:rFonts w:hint="eastAsia"/>
          <w:color w:val="000000" w:themeColor="text1"/>
        </w:rPr>
        <w:t>NY/T 471  绿色食品 饲料及饲料添加剂使用准则</w:t>
      </w:r>
    </w:p>
    <w:p w:rsidR="00821456" w:rsidRDefault="00000000">
      <w:pPr>
        <w:pStyle w:val="afffffb"/>
        <w:ind w:firstLine="420"/>
        <w:rPr>
          <w:color w:val="000000" w:themeColor="text1"/>
        </w:rPr>
      </w:pPr>
      <w:r>
        <w:rPr>
          <w:rFonts w:hint="eastAsia"/>
          <w:color w:val="000000" w:themeColor="text1"/>
        </w:rPr>
        <w:t>NY/T 755  绿色食品 渔药使用准则</w:t>
      </w:r>
    </w:p>
    <w:p w:rsidR="00821456" w:rsidRDefault="00000000">
      <w:pPr>
        <w:pStyle w:val="afffffb"/>
        <w:ind w:firstLine="420"/>
        <w:rPr>
          <w:color w:val="000000" w:themeColor="text1"/>
        </w:rPr>
      </w:pPr>
      <w:r>
        <w:rPr>
          <w:rFonts w:hint="eastAsia"/>
          <w:color w:val="000000" w:themeColor="text1"/>
        </w:rPr>
        <w:t>NY/T 3204  农产品质量安全追溯操作规程 水产品</w:t>
      </w:r>
    </w:p>
    <w:p w:rsidR="00821456" w:rsidRDefault="00000000">
      <w:pPr>
        <w:pStyle w:val="afffffb"/>
        <w:ind w:firstLine="420"/>
        <w:rPr>
          <w:color w:val="000000" w:themeColor="text1"/>
        </w:rPr>
      </w:pPr>
      <w:r>
        <w:rPr>
          <w:rFonts w:hint="eastAsia"/>
          <w:color w:val="000000" w:themeColor="text1"/>
        </w:rPr>
        <w:t>NY/T 3616  水产养殖场建设规范</w:t>
      </w:r>
    </w:p>
    <w:p w:rsidR="00821456" w:rsidRDefault="00000000">
      <w:pPr>
        <w:pStyle w:val="afffffb"/>
        <w:ind w:firstLine="420"/>
        <w:rPr>
          <w:color w:val="000000" w:themeColor="text1"/>
        </w:rPr>
      </w:pPr>
      <w:r>
        <w:rPr>
          <w:rFonts w:hint="eastAsia"/>
          <w:color w:val="000000" w:themeColor="text1"/>
        </w:rPr>
        <w:t>SC/T 1075  鱼苗、鱼种运输通用技术要求</w:t>
      </w:r>
    </w:p>
    <w:p w:rsidR="00821456" w:rsidRDefault="00000000">
      <w:pPr>
        <w:pStyle w:val="afffffb"/>
        <w:ind w:firstLine="420"/>
        <w:rPr>
          <w:color w:val="000000" w:themeColor="text1"/>
        </w:rPr>
      </w:pPr>
      <w:r>
        <w:rPr>
          <w:rFonts w:hint="eastAsia"/>
          <w:color w:val="000000" w:themeColor="text1"/>
        </w:rPr>
        <w:t>SC/T 1137  淡水养殖水质调节用微生物制剂质量与使用原则</w:t>
      </w:r>
    </w:p>
    <w:p w:rsidR="00821456" w:rsidRDefault="00000000">
      <w:pPr>
        <w:pStyle w:val="afffffb"/>
        <w:ind w:firstLine="420"/>
        <w:rPr>
          <w:color w:val="000000" w:themeColor="text1"/>
        </w:rPr>
      </w:pPr>
      <w:r>
        <w:rPr>
          <w:rFonts w:hint="eastAsia"/>
          <w:color w:val="000000" w:themeColor="text1"/>
        </w:rPr>
        <w:t>DB32/ 4043  池塘养殖尾水排放标准</w:t>
      </w:r>
    </w:p>
    <w:p w:rsidR="00821456" w:rsidRDefault="00000000">
      <w:pPr>
        <w:pStyle w:val="afffffb"/>
        <w:ind w:firstLine="420"/>
        <w:rPr>
          <w:color w:val="000000" w:themeColor="text1"/>
        </w:rPr>
      </w:pPr>
      <w:r>
        <w:rPr>
          <w:rFonts w:hint="eastAsia"/>
          <w:color w:val="000000" w:themeColor="text1"/>
        </w:rPr>
        <w:t>《病死及病害动物无害化处理技术规范》（农医发[2017]25号）</w:t>
      </w:r>
    </w:p>
    <w:p w:rsidR="00821456" w:rsidRDefault="00000000">
      <w:pPr>
        <w:pStyle w:val="afff2"/>
        <w:spacing w:before="312" w:after="312"/>
        <w:rPr>
          <w:szCs w:val="21"/>
        </w:rPr>
      </w:pPr>
      <w:bookmarkStart w:id="42" w:name="_Toc97191425"/>
      <w:r>
        <w:rPr>
          <w:rFonts w:hint="eastAsia"/>
          <w:szCs w:val="21"/>
        </w:rPr>
        <w:t>术语和定义</w:t>
      </w:r>
      <w:bookmarkEnd w:id="42"/>
    </w:p>
    <w:bookmarkStart w:id="43" w:name="_Toc26986532" w:displacedByCustomXml="next"/>
    <w:bookmarkEnd w:id="43" w:displacedByCustomXml="next"/>
    <w:sdt>
      <w:sdtPr>
        <w:rPr>
          <w:color w:val="000000" w:themeColor="text1"/>
        </w:rPr>
        <w:id w:val="-1909835108"/>
        <w:placeholder>
          <w:docPart w:val="73246958D52347C9A32DF6764083261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821456" w:rsidRDefault="00000000">
          <w:pPr>
            <w:pStyle w:val="afffffb"/>
            <w:ind w:firstLine="420"/>
            <w:jc w:val="left"/>
            <w:rPr>
              <w:color w:val="000000" w:themeColor="text1"/>
            </w:rPr>
          </w:pPr>
          <w:r>
            <w:rPr>
              <w:color w:val="000000" w:themeColor="text1"/>
            </w:rPr>
            <w:t>下列术语和定义适用于本文件。</w:t>
          </w:r>
        </w:p>
      </w:sdtContent>
    </w:sdt>
    <w:p w:rsidR="00821456" w:rsidRDefault="00821456">
      <w:pPr>
        <w:pStyle w:val="afff3"/>
        <w:spacing w:before="156" w:after="156"/>
        <w:rPr>
          <w:rFonts w:hAnsi="黑体" w:cs="黑体" w:hint="eastAsia"/>
        </w:rPr>
      </w:pPr>
    </w:p>
    <w:p w:rsidR="00821456" w:rsidRDefault="00000000">
      <w:pPr>
        <w:pStyle w:val="afff3"/>
        <w:numPr>
          <w:ilvl w:val="0"/>
          <w:numId w:val="0"/>
        </w:numPr>
        <w:spacing w:before="156" w:after="156"/>
        <w:ind w:firstLineChars="200" w:firstLine="420"/>
        <w:rPr>
          <w:rFonts w:hAnsi="黑体" w:cs="黑体" w:hint="eastAsia"/>
        </w:rPr>
      </w:pPr>
      <w:r>
        <w:rPr>
          <w:rFonts w:hAnsi="黑体" w:cs="黑体" w:hint="eastAsia"/>
        </w:rPr>
        <w:t xml:space="preserve">草鱼成鱼 </w:t>
      </w:r>
      <w:r>
        <w:rPr>
          <w:rFonts w:hAnsi="黑体" w:cs="黑体" w:hint="eastAsia"/>
          <w:szCs w:val="28"/>
        </w:rPr>
        <w:t>adult grass carp</w:t>
      </w:r>
    </w:p>
    <w:p w:rsidR="00821456" w:rsidRDefault="00000000">
      <w:pPr>
        <w:pStyle w:val="afffffb"/>
        <w:ind w:firstLine="420"/>
        <w:rPr>
          <w:rFonts w:hAnsi="宋体" w:cs="宋体" w:hint="eastAsia"/>
        </w:rPr>
      </w:pPr>
      <w:r>
        <w:rPr>
          <w:rFonts w:hAnsi="宋体" w:cs="宋体" w:hint="eastAsia"/>
        </w:rPr>
        <w:t>草鱼鱼种经1年～2年养殖，可出塘且满足可食用要求的商品鱼。</w:t>
      </w:r>
    </w:p>
    <w:p w:rsidR="00821456" w:rsidRDefault="00000000">
      <w:pPr>
        <w:pStyle w:val="afff2"/>
        <w:spacing w:before="312" w:after="312"/>
        <w:rPr>
          <w:szCs w:val="21"/>
        </w:rPr>
      </w:pPr>
      <w:r>
        <w:rPr>
          <w:rFonts w:hint="eastAsia"/>
          <w:szCs w:val="21"/>
        </w:rPr>
        <w:t>池塘条件</w:t>
      </w:r>
    </w:p>
    <w:p w:rsidR="00821456" w:rsidRDefault="00000000">
      <w:pPr>
        <w:pStyle w:val="afff3"/>
        <w:spacing w:before="156" w:after="156"/>
      </w:pPr>
      <w:r>
        <w:rPr>
          <w:rFonts w:hint="eastAsia"/>
        </w:rPr>
        <w:t>养殖场地</w:t>
      </w:r>
    </w:p>
    <w:p w:rsidR="00821456" w:rsidRDefault="00000000">
      <w:pPr>
        <w:pStyle w:val="afffffb"/>
        <w:ind w:firstLine="420"/>
      </w:pPr>
      <w:r>
        <w:rPr>
          <w:rFonts w:hint="eastAsia"/>
        </w:rPr>
        <w:lastRenderedPageBreak/>
        <w:t>应符合NY/T 391的规定，水源应充足，排灌方便，交通便利，电力应充足。</w:t>
      </w:r>
    </w:p>
    <w:p w:rsidR="00821456" w:rsidRDefault="00000000">
      <w:pPr>
        <w:pStyle w:val="afff3"/>
        <w:spacing w:before="156" w:after="156"/>
      </w:pPr>
      <w:r>
        <w:rPr>
          <w:rFonts w:hint="eastAsia"/>
        </w:rPr>
        <w:t>养殖水源</w:t>
      </w:r>
    </w:p>
    <w:p w:rsidR="00821456" w:rsidRDefault="00000000">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应符合GB 11607、NY/T 391、NY/T 3616的规定。周边应无对养殖环境造成威胁的污染源，水质应清新。</w:t>
      </w:r>
    </w:p>
    <w:p w:rsidR="00821456" w:rsidRDefault="00000000">
      <w:pPr>
        <w:pStyle w:val="afff3"/>
        <w:spacing w:before="156" w:after="156"/>
      </w:pPr>
      <w:r>
        <w:rPr>
          <w:rFonts w:hint="eastAsia"/>
        </w:rPr>
        <w:t>池塘</w:t>
      </w:r>
    </w:p>
    <w:p w:rsidR="00821456" w:rsidRDefault="00000000">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池塘呈长方形，东西走向为宜。面积10000 ㎡～40000 ㎡，池深2.5 m～3.0 m，平均水深2.0 m～2.5 m。池堤应坚固，塘底应平坦，底泥为壤土、黏土或沙壤土，不渗漏。</w:t>
      </w:r>
    </w:p>
    <w:p w:rsidR="00821456" w:rsidRDefault="00000000">
      <w:pPr>
        <w:pStyle w:val="afff3"/>
        <w:spacing w:before="156" w:after="156"/>
      </w:pPr>
      <w:r>
        <w:rPr>
          <w:rFonts w:hint="eastAsia"/>
        </w:rPr>
        <w:t>尾水处理池</w:t>
      </w:r>
    </w:p>
    <w:p w:rsidR="00821456" w:rsidRDefault="00000000">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 xml:space="preserve">应设置尾水处理池，池塘的水排出后，应先进入尾水处理池，用物理、化学和生物等方法去除水中有害物质，不应直接排放。  </w:t>
      </w:r>
    </w:p>
    <w:p w:rsidR="00821456" w:rsidRDefault="00000000">
      <w:pPr>
        <w:pStyle w:val="afff3"/>
        <w:spacing w:before="156" w:after="156"/>
      </w:pPr>
      <w:r>
        <w:rPr>
          <w:rFonts w:hint="eastAsia"/>
        </w:rPr>
        <w:t>进排水渠道</w:t>
      </w:r>
    </w:p>
    <w:p w:rsidR="00821456" w:rsidRDefault="00000000">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color w:val="000000" w:themeColor="text1"/>
          <w:kern w:val="0"/>
          <w:szCs w:val="20"/>
        </w:rPr>
        <w:t>池塘的</w:t>
      </w:r>
      <w:r>
        <w:rPr>
          <w:rFonts w:ascii="宋体" w:hAnsi="Times New Roman" w:hint="eastAsia"/>
          <w:kern w:val="0"/>
          <w:szCs w:val="20"/>
        </w:rPr>
        <w:t>进水</w:t>
      </w:r>
      <w:r>
        <w:rPr>
          <w:rFonts w:ascii="宋体" w:hAnsi="Times New Roman" w:hint="eastAsia"/>
          <w:color w:val="000000" w:themeColor="text1"/>
          <w:kern w:val="0"/>
          <w:szCs w:val="20"/>
        </w:rPr>
        <w:t>口应远</w:t>
      </w:r>
      <w:r>
        <w:rPr>
          <w:rFonts w:ascii="宋体" w:hAnsi="Times New Roman" w:hint="eastAsia"/>
          <w:kern w:val="0"/>
          <w:szCs w:val="20"/>
        </w:rPr>
        <w:t>离排水口。排水管道的直径应大于进水管道，排水管道底应低于各相应池塘排水闸底 30 cm 以上。</w:t>
      </w:r>
    </w:p>
    <w:p w:rsidR="00821456" w:rsidRDefault="00000000">
      <w:pPr>
        <w:pStyle w:val="afff3"/>
        <w:spacing w:before="156" w:after="156"/>
      </w:pPr>
      <w:r>
        <w:rPr>
          <w:rFonts w:hint="eastAsia"/>
        </w:rPr>
        <w:t>增氧设备</w:t>
      </w:r>
    </w:p>
    <w:p w:rsidR="00821456" w:rsidRDefault="00000000">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应配备叶轮式增氧机，宜同时选用水车式增氧机，按3:1的比例搭配使用。每2000 ㎡宜配备1.5kw叶轮式增氧机2台。</w:t>
      </w:r>
    </w:p>
    <w:p w:rsidR="00821456" w:rsidRDefault="00000000">
      <w:pPr>
        <w:pStyle w:val="afff3"/>
        <w:spacing w:before="156" w:after="156"/>
      </w:pPr>
      <w:r>
        <w:rPr>
          <w:rFonts w:hint="eastAsia"/>
        </w:rPr>
        <w:t>电力系统</w:t>
      </w:r>
    </w:p>
    <w:p w:rsidR="00821456" w:rsidRDefault="00000000">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应匹配足够容量的电力系统及应急发电机组。</w:t>
      </w:r>
    </w:p>
    <w:p w:rsidR="00821456" w:rsidRDefault="00000000">
      <w:pPr>
        <w:pStyle w:val="afff2"/>
        <w:spacing w:before="312" w:after="312"/>
      </w:pPr>
      <w:r>
        <w:rPr>
          <w:rFonts w:hint="eastAsia"/>
        </w:rPr>
        <w:t>养殖前准备</w:t>
      </w:r>
    </w:p>
    <w:p w:rsidR="00821456" w:rsidRDefault="00000000">
      <w:pPr>
        <w:pStyle w:val="afff3"/>
        <w:spacing w:before="156" w:after="156"/>
      </w:pPr>
      <w:r>
        <w:rPr>
          <w:rFonts w:hint="eastAsia"/>
        </w:rPr>
        <w:t>干塘清淤</w:t>
      </w:r>
    </w:p>
    <w:p w:rsidR="00821456" w:rsidRDefault="00000000">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成鱼出池后应排干池水、清除池底过多的淤泥，使淤泥厚度≤10cm，延缓池塘老化。</w:t>
      </w:r>
    </w:p>
    <w:p w:rsidR="00821456" w:rsidRDefault="00000000">
      <w:pPr>
        <w:pStyle w:val="afff3"/>
        <w:spacing w:before="156" w:after="156"/>
      </w:pPr>
      <w:r>
        <w:rPr>
          <w:rFonts w:hint="eastAsia"/>
        </w:rPr>
        <w:t>整塘消毒</w:t>
      </w:r>
    </w:p>
    <w:p w:rsidR="00821456" w:rsidRDefault="00000000">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苗种放养前，应使用消毒剂清塘，药物的使用应符合NY/T 755规定。常用清塘药物及方法见表1。</w:t>
      </w:r>
    </w:p>
    <w:p w:rsidR="00821456" w:rsidRDefault="00000000">
      <w:pPr>
        <w:pStyle w:val="aff8"/>
        <w:numPr>
          <w:ilvl w:val="0"/>
          <w:numId w:val="0"/>
        </w:numPr>
        <w:spacing w:before="156" w:after="156"/>
      </w:pPr>
      <w:bookmarkStart w:id="44" w:name="_Hlk129880962"/>
      <w:r>
        <w:rPr>
          <w:rFonts w:hint="eastAsia"/>
        </w:rPr>
        <w:t>表1  常用清塘药物及其使用方法</w:t>
      </w:r>
    </w:p>
    <w:tbl>
      <w:tblPr>
        <w:tblW w:w="4989"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59"/>
        <w:gridCol w:w="1281"/>
        <w:gridCol w:w="1305"/>
        <w:gridCol w:w="4199"/>
        <w:gridCol w:w="1559"/>
      </w:tblGrid>
      <w:tr w:rsidR="00821456">
        <w:trPr>
          <w:trHeight w:val="344"/>
          <w:tblHeader/>
          <w:jc w:val="center"/>
        </w:trPr>
        <w:tc>
          <w:tcPr>
            <w:tcW w:w="515" w:type="pct"/>
            <w:tcBorders>
              <w:top w:val="single" w:sz="12" w:space="0" w:color="auto"/>
              <w:left w:val="single" w:sz="12" w:space="0" w:color="auto"/>
              <w:bottom w:val="single" w:sz="12" w:space="0" w:color="auto"/>
            </w:tcBorders>
            <w:shd w:val="clear" w:color="auto" w:fill="auto"/>
            <w:vAlign w:val="center"/>
          </w:tcPr>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药物</w:t>
            </w:r>
          </w:p>
        </w:tc>
        <w:tc>
          <w:tcPr>
            <w:tcW w:w="688" w:type="pct"/>
            <w:tcBorders>
              <w:top w:val="single" w:sz="12" w:space="0" w:color="auto"/>
              <w:bottom w:val="single" w:sz="12" w:space="0" w:color="auto"/>
            </w:tcBorders>
            <w:shd w:val="clear" w:color="auto" w:fill="auto"/>
            <w:vAlign w:val="center"/>
          </w:tcPr>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清塘方法</w:t>
            </w:r>
          </w:p>
        </w:tc>
        <w:tc>
          <w:tcPr>
            <w:tcW w:w="701" w:type="pct"/>
            <w:tcBorders>
              <w:top w:val="single" w:sz="12" w:space="0" w:color="auto"/>
              <w:bottom w:val="single" w:sz="12" w:space="0" w:color="auto"/>
            </w:tcBorders>
            <w:shd w:val="clear" w:color="auto" w:fill="auto"/>
            <w:vAlign w:val="center"/>
          </w:tcPr>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用量</w:t>
            </w:r>
          </w:p>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kg/6</w:t>
            </w:r>
            <w:r>
              <w:rPr>
                <w:rFonts w:ascii="宋体" w:hAnsi="宋体" w:cs="宋体"/>
                <w:sz w:val="18"/>
                <w:szCs w:val="18"/>
              </w:rPr>
              <w:t>67</w:t>
            </w:r>
            <w:r>
              <w:rPr>
                <w:rFonts w:ascii="宋体" w:hAnsi="宋体" w:cs="宋体" w:hint="eastAsia"/>
                <w:sz w:val="18"/>
                <w:szCs w:val="18"/>
              </w:rPr>
              <w:t>㎡</w:t>
            </w:r>
          </w:p>
        </w:tc>
        <w:tc>
          <w:tcPr>
            <w:tcW w:w="2257" w:type="pct"/>
            <w:tcBorders>
              <w:top w:val="single" w:sz="12" w:space="0" w:color="auto"/>
              <w:bottom w:val="single" w:sz="12" w:space="0" w:color="auto"/>
            </w:tcBorders>
            <w:shd w:val="clear" w:color="auto" w:fill="auto"/>
            <w:vAlign w:val="center"/>
          </w:tcPr>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使用方法</w:t>
            </w:r>
          </w:p>
        </w:tc>
        <w:tc>
          <w:tcPr>
            <w:tcW w:w="838" w:type="pct"/>
            <w:tcBorders>
              <w:top w:val="single" w:sz="12" w:space="0" w:color="auto"/>
              <w:bottom w:val="single" w:sz="12" w:space="0" w:color="auto"/>
              <w:right w:val="single" w:sz="12" w:space="0" w:color="auto"/>
            </w:tcBorders>
            <w:shd w:val="clear" w:color="auto" w:fill="auto"/>
            <w:vAlign w:val="center"/>
          </w:tcPr>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毒性消失时间</w:t>
            </w:r>
          </w:p>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d</w:t>
            </w:r>
          </w:p>
        </w:tc>
      </w:tr>
      <w:tr w:rsidR="00821456">
        <w:trPr>
          <w:trHeight w:val="624"/>
          <w:jc w:val="center"/>
        </w:trPr>
        <w:tc>
          <w:tcPr>
            <w:tcW w:w="515" w:type="pct"/>
            <w:vMerge w:val="restart"/>
            <w:tcBorders>
              <w:top w:val="single" w:sz="12" w:space="0" w:color="auto"/>
              <w:left w:val="single" w:sz="12" w:space="0" w:color="auto"/>
            </w:tcBorders>
            <w:shd w:val="clear" w:color="auto" w:fill="auto"/>
            <w:vAlign w:val="center"/>
          </w:tcPr>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生石灰</w:t>
            </w:r>
          </w:p>
        </w:tc>
        <w:tc>
          <w:tcPr>
            <w:tcW w:w="688" w:type="pct"/>
            <w:tcBorders>
              <w:top w:val="single" w:sz="12" w:space="0" w:color="auto"/>
            </w:tcBorders>
            <w:shd w:val="clear" w:color="auto" w:fill="auto"/>
            <w:vAlign w:val="center"/>
          </w:tcPr>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干法清塘</w:t>
            </w:r>
          </w:p>
        </w:tc>
        <w:tc>
          <w:tcPr>
            <w:tcW w:w="701" w:type="pct"/>
            <w:tcBorders>
              <w:top w:val="single" w:sz="12" w:space="0" w:color="auto"/>
            </w:tcBorders>
            <w:shd w:val="clear" w:color="auto" w:fill="auto"/>
            <w:vAlign w:val="center"/>
          </w:tcPr>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50～75</w:t>
            </w:r>
          </w:p>
        </w:tc>
        <w:tc>
          <w:tcPr>
            <w:tcW w:w="2257" w:type="pct"/>
            <w:tcBorders>
              <w:top w:val="single" w:sz="12" w:space="0" w:color="auto"/>
            </w:tcBorders>
            <w:shd w:val="clear" w:color="auto" w:fill="auto"/>
            <w:vAlign w:val="center"/>
          </w:tcPr>
          <w:p w:rsidR="00821456" w:rsidRDefault="00000000">
            <w:pPr>
              <w:adjustRightInd/>
              <w:spacing w:line="240" w:lineRule="auto"/>
              <w:rPr>
                <w:rFonts w:ascii="宋体" w:hAnsi="宋体" w:cs="宋体" w:hint="eastAsia"/>
                <w:sz w:val="18"/>
                <w:szCs w:val="18"/>
              </w:rPr>
            </w:pPr>
            <w:r>
              <w:rPr>
                <w:rFonts w:ascii="宋体" w:hAnsi="宋体" w:cs="宋体" w:hint="eastAsia"/>
                <w:sz w:val="18"/>
                <w:szCs w:val="18"/>
              </w:rPr>
              <w:t>排出塘水，将生石灰化开成浆液，趁热全池泼洒，第二天翻动底泥，3</w:t>
            </w:r>
            <w:r>
              <w:rPr>
                <w:rFonts w:ascii="宋体" w:hAnsi="宋体" w:cs="宋体"/>
                <w:sz w:val="18"/>
                <w:szCs w:val="18"/>
              </w:rPr>
              <w:t xml:space="preserve"> </w:t>
            </w:r>
            <w:r>
              <w:rPr>
                <w:rFonts w:ascii="宋体" w:hAnsi="宋体" w:cs="宋体" w:hint="eastAsia"/>
                <w:sz w:val="18"/>
                <w:szCs w:val="18"/>
              </w:rPr>
              <w:t>d～5 d后注入新水</w:t>
            </w:r>
          </w:p>
        </w:tc>
        <w:tc>
          <w:tcPr>
            <w:tcW w:w="838" w:type="pct"/>
            <w:vMerge w:val="restart"/>
            <w:tcBorders>
              <w:top w:val="single" w:sz="12" w:space="0" w:color="auto"/>
              <w:bottom w:val="single" w:sz="12" w:space="0" w:color="auto"/>
              <w:right w:val="single" w:sz="12" w:space="0" w:color="auto"/>
            </w:tcBorders>
            <w:shd w:val="clear" w:color="auto" w:fill="auto"/>
            <w:vAlign w:val="center"/>
          </w:tcPr>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7～</w:t>
            </w:r>
            <w:r>
              <w:rPr>
                <w:rFonts w:ascii="宋体" w:hAnsi="宋体" w:cs="宋体"/>
                <w:sz w:val="18"/>
                <w:szCs w:val="18"/>
              </w:rPr>
              <w:t>15</w:t>
            </w:r>
          </w:p>
        </w:tc>
      </w:tr>
      <w:tr w:rsidR="00821456">
        <w:trPr>
          <w:trHeight w:val="624"/>
          <w:jc w:val="center"/>
        </w:trPr>
        <w:tc>
          <w:tcPr>
            <w:tcW w:w="515" w:type="pct"/>
            <w:vMerge/>
            <w:tcBorders>
              <w:left w:val="single" w:sz="12" w:space="0" w:color="auto"/>
              <w:bottom w:val="single" w:sz="12" w:space="0" w:color="auto"/>
            </w:tcBorders>
            <w:shd w:val="clear" w:color="auto" w:fill="auto"/>
            <w:vAlign w:val="center"/>
          </w:tcPr>
          <w:p w:rsidR="00821456" w:rsidRDefault="00821456">
            <w:pPr>
              <w:adjustRightInd/>
              <w:spacing w:line="240" w:lineRule="auto"/>
              <w:jc w:val="center"/>
              <w:rPr>
                <w:rFonts w:ascii="宋体" w:hAnsi="宋体" w:cs="宋体" w:hint="eastAsia"/>
                <w:sz w:val="18"/>
                <w:szCs w:val="18"/>
              </w:rPr>
            </w:pPr>
          </w:p>
        </w:tc>
        <w:tc>
          <w:tcPr>
            <w:tcW w:w="688" w:type="pct"/>
            <w:tcBorders>
              <w:bottom w:val="single" w:sz="12" w:space="0" w:color="auto"/>
            </w:tcBorders>
            <w:shd w:val="clear" w:color="auto" w:fill="auto"/>
            <w:vAlign w:val="center"/>
          </w:tcPr>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带水清塘</w:t>
            </w:r>
          </w:p>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（1</w:t>
            </w:r>
            <w:r>
              <w:rPr>
                <w:rFonts w:ascii="宋体" w:hAnsi="宋体" w:cs="宋体"/>
                <w:sz w:val="18"/>
                <w:szCs w:val="18"/>
              </w:rPr>
              <w:t xml:space="preserve"> </w:t>
            </w:r>
            <w:r>
              <w:rPr>
                <w:rFonts w:ascii="宋体" w:hAnsi="宋体" w:cs="宋体" w:hint="eastAsia"/>
                <w:sz w:val="18"/>
                <w:szCs w:val="18"/>
              </w:rPr>
              <w:t>m水深）</w:t>
            </w:r>
          </w:p>
        </w:tc>
        <w:tc>
          <w:tcPr>
            <w:tcW w:w="701" w:type="pct"/>
            <w:tcBorders>
              <w:bottom w:val="single" w:sz="12" w:space="0" w:color="auto"/>
            </w:tcBorders>
            <w:shd w:val="clear" w:color="auto" w:fill="auto"/>
            <w:vAlign w:val="center"/>
          </w:tcPr>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125～150</w:t>
            </w:r>
          </w:p>
        </w:tc>
        <w:tc>
          <w:tcPr>
            <w:tcW w:w="2257" w:type="pct"/>
            <w:tcBorders>
              <w:bottom w:val="single" w:sz="12" w:space="0" w:color="auto"/>
            </w:tcBorders>
            <w:shd w:val="clear" w:color="auto" w:fill="auto"/>
            <w:vAlign w:val="center"/>
          </w:tcPr>
          <w:p w:rsidR="00821456" w:rsidRDefault="00000000">
            <w:pPr>
              <w:adjustRightInd/>
              <w:spacing w:line="240" w:lineRule="auto"/>
              <w:rPr>
                <w:rFonts w:ascii="宋体" w:hAnsi="宋体" w:cs="宋体" w:hint="eastAsia"/>
                <w:sz w:val="18"/>
                <w:szCs w:val="18"/>
              </w:rPr>
            </w:pPr>
            <w:r>
              <w:rPr>
                <w:rFonts w:ascii="宋体" w:hAnsi="宋体" w:cs="宋体" w:hint="eastAsia"/>
                <w:sz w:val="18"/>
                <w:szCs w:val="18"/>
              </w:rPr>
              <w:t>排出部分水将生石灰化开成浆液，趁热全池泼洒</w:t>
            </w:r>
          </w:p>
        </w:tc>
        <w:tc>
          <w:tcPr>
            <w:tcW w:w="838" w:type="pct"/>
            <w:vMerge/>
            <w:tcBorders>
              <w:top w:val="single" w:sz="12" w:space="0" w:color="auto"/>
              <w:bottom w:val="single" w:sz="12" w:space="0" w:color="auto"/>
              <w:right w:val="single" w:sz="12" w:space="0" w:color="auto"/>
            </w:tcBorders>
            <w:shd w:val="clear" w:color="auto" w:fill="auto"/>
            <w:vAlign w:val="center"/>
          </w:tcPr>
          <w:p w:rsidR="00821456" w:rsidRDefault="00821456">
            <w:pPr>
              <w:adjustRightInd/>
              <w:spacing w:line="240" w:lineRule="auto"/>
              <w:jc w:val="center"/>
              <w:rPr>
                <w:rFonts w:ascii="宋体" w:hAnsi="宋体" w:cs="宋体" w:hint="eastAsia"/>
                <w:sz w:val="18"/>
                <w:szCs w:val="18"/>
              </w:rPr>
            </w:pPr>
          </w:p>
        </w:tc>
      </w:tr>
      <w:bookmarkEnd w:id="44"/>
    </w:tbl>
    <w:p w:rsidR="00821456" w:rsidRDefault="00821456"/>
    <w:p w:rsidR="00821456" w:rsidRDefault="00000000">
      <w:pPr>
        <w:pStyle w:val="aff8"/>
        <w:numPr>
          <w:ilvl w:val="0"/>
          <w:numId w:val="0"/>
        </w:numPr>
        <w:spacing w:before="156" w:after="156"/>
        <w:rPr>
          <w:rFonts w:ascii="宋体" w:eastAsia="宋体" w:hAnsi="宋体" w:cs="宋体" w:hint="eastAsia"/>
        </w:rPr>
      </w:pPr>
      <w:r>
        <w:rPr>
          <w:rFonts w:hint="eastAsia"/>
        </w:rPr>
        <w:lastRenderedPageBreak/>
        <w:t>表1  常用清塘药物及其使用方法</w:t>
      </w:r>
      <w:r>
        <w:rPr>
          <w:rFonts w:ascii="宋体" w:eastAsia="宋体" w:hAnsi="宋体" w:cs="宋体" w:hint="eastAsia"/>
        </w:rPr>
        <w:t>（续）</w:t>
      </w:r>
    </w:p>
    <w:tbl>
      <w:tblPr>
        <w:tblW w:w="4839"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43"/>
        <w:gridCol w:w="1266"/>
        <w:gridCol w:w="1072"/>
        <w:gridCol w:w="4371"/>
        <w:gridCol w:w="1372"/>
      </w:tblGrid>
      <w:tr w:rsidR="00821456">
        <w:trPr>
          <w:trHeight w:val="723"/>
          <w:tblHeader/>
          <w:jc w:val="center"/>
        </w:trPr>
        <w:tc>
          <w:tcPr>
            <w:tcW w:w="522" w:type="pct"/>
            <w:tcBorders>
              <w:top w:val="single" w:sz="12" w:space="0" w:color="auto"/>
              <w:left w:val="single" w:sz="12" w:space="0" w:color="auto"/>
              <w:bottom w:val="single" w:sz="12" w:space="0" w:color="auto"/>
            </w:tcBorders>
            <w:shd w:val="clear" w:color="auto" w:fill="auto"/>
            <w:vAlign w:val="center"/>
          </w:tcPr>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药物</w:t>
            </w:r>
          </w:p>
        </w:tc>
        <w:tc>
          <w:tcPr>
            <w:tcW w:w="701" w:type="pct"/>
            <w:tcBorders>
              <w:top w:val="single" w:sz="12" w:space="0" w:color="auto"/>
              <w:bottom w:val="single" w:sz="12" w:space="0" w:color="auto"/>
            </w:tcBorders>
            <w:shd w:val="clear" w:color="auto" w:fill="auto"/>
            <w:vAlign w:val="center"/>
          </w:tcPr>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清塘方法</w:t>
            </w:r>
          </w:p>
        </w:tc>
        <w:tc>
          <w:tcPr>
            <w:tcW w:w="594" w:type="pct"/>
            <w:tcBorders>
              <w:top w:val="single" w:sz="12" w:space="0" w:color="auto"/>
              <w:bottom w:val="single" w:sz="12" w:space="0" w:color="auto"/>
            </w:tcBorders>
            <w:shd w:val="clear" w:color="auto" w:fill="auto"/>
            <w:vAlign w:val="center"/>
          </w:tcPr>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用量</w:t>
            </w:r>
          </w:p>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kg/6</w:t>
            </w:r>
            <w:r>
              <w:rPr>
                <w:rFonts w:ascii="宋体" w:hAnsi="宋体" w:cs="宋体"/>
                <w:sz w:val="18"/>
                <w:szCs w:val="18"/>
              </w:rPr>
              <w:t>67</w:t>
            </w:r>
            <w:r>
              <w:rPr>
                <w:rFonts w:ascii="宋体" w:hAnsi="宋体" w:cs="宋体" w:hint="eastAsia"/>
                <w:sz w:val="18"/>
                <w:szCs w:val="18"/>
              </w:rPr>
              <w:t>㎡</w:t>
            </w:r>
          </w:p>
        </w:tc>
        <w:tc>
          <w:tcPr>
            <w:tcW w:w="2421" w:type="pct"/>
            <w:tcBorders>
              <w:top w:val="single" w:sz="12" w:space="0" w:color="auto"/>
              <w:bottom w:val="single" w:sz="12" w:space="0" w:color="auto"/>
            </w:tcBorders>
            <w:shd w:val="clear" w:color="auto" w:fill="auto"/>
            <w:vAlign w:val="center"/>
          </w:tcPr>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使用方法</w:t>
            </w:r>
          </w:p>
        </w:tc>
        <w:tc>
          <w:tcPr>
            <w:tcW w:w="760" w:type="pct"/>
            <w:tcBorders>
              <w:top w:val="single" w:sz="12" w:space="0" w:color="auto"/>
              <w:bottom w:val="single" w:sz="12" w:space="0" w:color="auto"/>
              <w:right w:val="single" w:sz="12" w:space="0" w:color="auto"/>
            </w:tcBorders>
            <w:shd w:val="clear" w:color="auto" w:fill="auto"/>
            <w:vAlign w:val="center"/>
          </w:tcPr>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毒性消失时间</w:t>
            </w:r>
          </w:p>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d</w:t>
            </w:r>
          </w:p>
        </w:tc>
      </w:tr>
      <w:tr w:rsidR="00821456">
        <w:trPr>
          <w:trHeight w:val="487"/>
          <w:jc w:val="center"/>
        </w:trPr>
        <w:tc>
          <w:tcPr>
            <w:tcW w:w="522" w:type="pct"/>
            <w:vMerge w:val="restart"/>
            <w:tcBorders>
              <w:top w:val="single" w:sz="12" w:space="0" w:color="auto"/>
              <w:left w:val="single" w:sz="12" w:space="0" w:color="auto"/>
            </w:tcBorders>
            <w:shd w:val="clear" w:color="auto" w:fill="auto"/>
            <w:vAlign w:val="center"/>
          </w:tcPr>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漂白粉（有效氯≥25%）</w:t>
            </w:r>
          </w:p>
        </w:tc>
        <w:tc>
          <w:tcPr>
            <w:tcW w:w="701" w:type="pct"/>
            <w:tcBorders>
              <w:top w:val="single" w:sz="12" w:space="0" w:color="auto"/>
            </w:tcBorders>
            <w:shd w:val="clear" w:color="auto" w:fill="auto"/>
            <w:vAlign w:val="center"/>
          </w:tcPr>
          <w:p w:rsidR="00821456" w:rsidRDefault="00000000">
            <w:pPr>
              <w:adjustRightInd/>
              <w:spacing w:line="240" w:lineRule="auto"/>
              <w:ind w:firstLineChars="100" w:firstLine="180"/>
              <w:rPr>
                <w:rFonts w:ascii="宋体" w:hAnsi="宋体" w:cs="宋体" w:hint="eastAsia"/>
                <w:sz w:val="18"/>
                <w:szCs w:val="18"/>
              </w:rPr>
            </w:pPr>
            <w:r>
              <w:rPr>
                <w:rFonts w:ascii="宋体" w:hAnsi="宋体" w:cs="宋体" w:hint="eastAsia"/>
                <w:sz w:val="18"/>
                <w:szCs w:val="18"/>
              </w:rPr>
              <w:t>干法清塘</w:t>
            </w:r>
          </w:p>
        </w:tc>
        <w:tc>
          <w:tcPr>
            <w:tcW w:w="594" w:type="pct"/>
            <w:tcBorders>
              <w:top w:val="single" w:sz="12" w:space="0" w:color="auto"/>
            </w:tcBorders>
            <w:shd w:val="clear" w:color="auto" w:fill="auto"/>
            <w:vAlign w:val="center"/>
          </w:tcPr>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5～10</w:t>
            </w:r>
          </w:p>
        </w:tc>
        <w:tc>
          <w:tcPr>
            <w:tcW w:w="2421" w:type="pct"/>
            <w:tcBorders>
              <w:top w:val="single" w:sz="12" w:space="0" w:color="auto"/>
            </w:tcBorders>
            <w:shd w:val="clear" w:color="auto" w:fill="auto"/>
            <w:vAlign w:val="center"/>
          </w:tcPr>
          <w:p w:rsidR="00821456" w:rsidRDefault="00000000">
            <w:pPr>
              <w:adjustRightInd/>
              <w:spacing w:line="240" w:lineRule="auto"/>
              <w:ind w:firstLineChars="100" w:firstLine="180"/>
              <w:rPr>
                <w:rFonts w:ascii="宋体" w:hAnsi="宋体" w:cs="宋体" w:hint="eastAsia"/>
                <w:sz w:val="18"/>
                <w:szCs w:val="18"/>
              </w:rPr>
            </w:pPr>
            <w:r>
              <w:rPr>
                <w:rFonts w:ascii="宋体" w:hAnsi="宋体" w:cs="宋体" w:hint="eastAsia"/>
                <w:sz w:val="18"/>
                <w:szCs w:val="18"/>
              </w:rPr>
              <w:t>干塘后将漂白粉加水溶化拌成糊状，稀释后全池泼洒</w:t>
            </w:r>
          </w:p>
        </w:tc>
        <w:tc>
          <w:tcPr>
            <w:tcW w:w="760" w:type="pct"/>
            <w:vMerge w:val="restart"/>
            <w:tcBorders>
              <w:top w:val="single" w:sz="12" w:space="0" w:color="auto"/>
              <w:bottom w:val="single" w:sz="12" w:space="0" w:color="auto"/>
              <w:right w:val="single" w:sz="12" w:space="0" w:color="auto"/>
            </w:tcBorders>
            <w:shd w:val="clear" w:color="auto" w:fill="auto"/>
            <w:vAlign w:val="center"/>
          </w:tcPr>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3～5</w:t>
            </w:r>
          </w:p>
        </w:tc>
      </w:tr>
      <w:tr w:rsidR="00821456">
        <w:trPr>
          <w:trHeight w:val="464"/>
          <w:jc w:val="center"/>
        </w:trPr>
        <w:tc>
          <w:tcPr>
            <w:tcW w:w="522" w:type="pct"/>
            <w:vMerge/>
            <w:tcBorders>
              <w:left w:val="single" w:sz="12" w:space="0" w:color="auto"/>
              <w:bottom w:val="single" w:sz="12" w:space="0" w:color="auto"/>
            </w:tcBorders>
            <w:shd w:val="clear" w:color="auto" w:fill="auto"/>
            <w:vAlign w:val="center"/>
          </w:tcPr>
          <w:p w:rsidR="00821456" w:rsidRDefault="00821456">
            <w:pPr>
              <w:adjustRightInd/>
              <w:spacing w:line="240" w:lineRule="auto"/>
              <w:jc w:val="center"/>
              <w:rPr>
                <w:rFonts w:ascii="宋体" w:hAnsi="宋体" w:cs="宋体" w:hint="eastAsia"/>
                <w:sz w:val="18"/>
                <w:szCs w:val="18"/>
              </w:rPr>
            </w:pPr>
          </w:p>
        </w:tc>
        <w:tc>
          <w:tcPr>
            <w:tcW w:w="701" w:type="pct"/>
            <w:tcBorders>
              <w:bottom w:val="single" w:sz="12" w:space="0" w:color="auto"/>
            </w:tcBorders>
            <w:shd w:val="clear" w:color="auto" w:fill="auto"/>
            <w:vAlign w:val="center"/>
          </w:tcPr>
          <w:p w:rsidR="00821456" w:rsidRDefault="00000000">
            <w:pPr>
              <w:adjustRightInd/>
              <w:spacing w:line="240" w:lineRule="auto"/>
              <w:ind w:firstLineChars="100" w:firstLine="180"/>
              <w:rPr>
                <w:rFonts w:ascii="宋体" w:hAnsi="宋体" w:cs="宋体" w:hint="eastAsia"/>
                <w:sz w:val="18"/>
                <w:szCs w:val="18"/>
              </w:rPr>
            </w:pPr>
            <w:r>
              <w:rPr>
                <w:rFonts w:ascii="宋体" w:hAnsi="宋体" w:cs="宋体" w:hint="eastAsia"/>
                <w:sz w:val="18"/>
                <w:szCs w:val="18"/>
              </w:rPr>
              <w:t>带水清塘</w:t>
            </w:r>
          </w:p>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（1 m水深）</w:t>
            </w:r>
          </w:p>
        </w:tc>
        <w:tc>
          <w:tcPr>
            <w:tcW w:w="594" w:type="pct"/>
            <w:tcBorders>
              <w:bottom w:val="single" w:sz="12" w:space="0" w:color="auto"/>
            </w:tcBorders>
            <w:shd w:val="clear" w:color="auto" w:fill="auto"/>
            <w:vAlign w:val="center"/>
          </w:tcPr>
          <w:p w:rsidR="00821456" w:rsidRDefault="00000000">
            <w:pPr>
              <w:adjustRightInd/>
              <w:spacing w:line="240" w:lineRule="auto"/>
              <w:jc w:val="center"/>
              <w:rPr>
                <w:rFonts w:ascii="宋体" w:hAnsi="宋体" w:cs="宋体" w:hint="eastAsia"/>
                <w:sz w:val="18"/>
                <w:szCs w:val="18"/>
              </w:rPr>
            </w:pPr>
            <w:r>
              <w:rPr>
                <w:rFonts w:ascii="宋体" w:hAnsi="宋体" w:cs="宋体" w:hint="eastAsia"/>
                <w:sz w:val="18"/>
                <w:szCs w:val="18"/>
              </w:rPr>
              <w:t>13～13.5</w:t>
            </w:r>
          </w:p>
        </w:tc>
        <w:tc>
          <w:tcPr>
            <w:tcW w:w="2421" w:type="pct"/>
            <w:tcBorders>
              <w:bottom w:val="single" w:sz="12" w:space="0" w:color="auto"/>
            </w:tcBorders>
            <w:shd w:val="clear" w:color="auto" w:fill="auto"/>
            <w:vAlign w:val="center"/>
          </w:tcPr>
          <w:p w:rsidR="00821456" w:rsidRDefault="00000000">
            <w:pPr>
              <w:adjustRightInd/>
              <w:spacing w:line="240" w:lineRule="auto"/>
              <w:ind w:firstLineChars="100" w:firstLine="180"/>
              <w:rPr>
                <w:rFonts w:ascii="宋体" w:hAnsi="宋体" w:cs="宋体" w:hint="eastAsia"/>
                <w:sz w:val="18"/>
                <w:szCs w:val="18"/>
              </w:rPr>
            </w:pPr>
            <w:r>
              <w:rPr>
                <w:rFonts w:ascii="宋体" w:hAnsi="宋体" w:cs="宋体" w:hint="eastAsia"/>
                <w:sz w:val="18"/>
                <w:szCs w:val="18"/>
              </w:rPr>
              <w:t>将漂白粉溶化，稀释后全池泼洒</w:t>
            </w:r>
          </w:p>
        </w:tc>
        <w:tc>
          <w:tcPr>
            <w:tcW w:w="760" w:type="pct"/>
            <w:vMerge/>
            <w:tcBorders>
              <w:top w:val="single" w:sz="12" w:space="0" w:color="auto"/>
              <w:bottom w:val="single" w:sz="12" w:space="0" w:color="auto"/>
              <w:right w:val="single" w:sz="12" w:space="0" w:color="auto"/>
            </w:tcBorders>
            <w:shd w:val="clear" w:color="auto" w:fill="auto"/>
            <w:vAlign w:val="center"/>
          </w:tcPr>
          <w:p w:rsidR="00821456" w:rsidRDefault="00821456">
            <w:pPr>
              <w:adjustRightInd/>
              <w:spacing w:line="240" w:lineRule="auto"/>
              <w:jc w:val="center"/>
              <w:rPr>
                <w:rFonts w:ascii="宋体" w:hAnsi="宋体" w:cs="宋体" w:hint="eastAsia"/>
                <w:sz w:val="18"/>
                <w:szCs w:val="18"/>
              </w:rPr>
            </w:pPr>
          </w:p>
        </w:tc>
      </w:tr>
    </w:tbl>
    <w:p w:rsidR="00821456" w:rsidRDefault="00000000">
      <w:pPr>
        <w:pStyle w:val="afff3"/>
        <w:spacing w:before="156" w:after="156"/>
        <w:rPr>
          <w:b/>
          <w:bCs/>
        </w:rPr>
      </w:pPr>
      <w:r>
        <w:rPr>
          <w:rFonts w:hint="eastAsia"/>
          <w:b/>
          <w:bCs/>
        </w:rPr>
        <w:t>池塘进水</w:t>
      </w:r>
    </w:p>
    <w:p w:rsidR="00821456" w:rsidRDefault="00000000">
      <w:pPr>
        <w:pStyle w:val="afffffffff7"/>
      </w:pPr>
      <w:r>
        <w:rPr>
          <w:rFonts w:hint="eastAsia"/>
        </w:rPr>
        <w:t>清塘消毒3 d～5 d后应注水，初次注水水深宜0.5 m～0.8 m为宜。注水时用60目的筛网过滤。进水前应对水源水质进行检测（氨氮、亚硝酸盐、硫化氢、总磷、含盐量、水温等），符合养殖用水标准后开始进水。</w:t>
      </w:r>
    </w:p>
    <w:p w:rsidR="00821456" w:rsidRDefault="00000000">
      <w:pPr>
        <w:pStyle w:val="afffffffff7"/>
      </w:pPr>
      <w:r>
        <w:rPr>
          <w:rFonts w:hint="eastAsia"/>
        </w:rPr>
        <w:t>蓄水60 cm后，采用上述消毒剂化浆进行全池泼洒消毒。</w:t>
      </w:r>
    </w:p>
    <w:p w:rsidR="00821456" w:rsidRDefault="00000000">
      <w:pPr>
        <w:pStyle w:val="afffffffff7"/>
      </w:pPr>
      <w:r>
        <w:rPr>
          <w:rFonts w:hint="eastAsia"/>
        </w:rPr>
        <w:t>消毒次日继续注水，直至蓄到1.5 m水深。在进水过程中经常查看各塘口是否有漏点，增氧设备开启是否能正常运行。</w:t>
      </w:r>
    </w:p>
    <w:p w:rsidR="00821456" w:rsidRDefault="00000000">
      <w:pPr>
        <w:pStyle w:val="afffffffff7"/>
      </w:pPr>
      <w:r>
        <w:rPr>
          <w:rFonts w:hint="eastAsia"/>
        </w:rPr>
        <w:t>鱼苗下塘前7 d，需要做好池塘水质的调控工作。检测水体余氯是否超过0.02 mg/kg，如有超过则采用硫代硫酸钠进行中和。</w:t>
      </w:r>
    </w:p>
    <w:p w:rsidR="00821456" w:rsidRDefault="00000000">
      <w:pPr>
        <w:pStyle w:val="afff2"/>
        <w:spacing w:before="312" w:after="312"/>
      </w:pPr>
      <w:r>
        <w:rPr>
          <w:rFonts w:hint="eastAsia"/>
        </w:rPr>
        <w:t>鱼种放养</w:t>
      </w:r>
    </w:p>
    <w:p w:rsidR="00821456" w:rsidRDefault="00000000">
      <w:pPr>
        <w:pStyle w:val="afff3"/>
        <w:spacing w:before="156" w:after="156"/>
      </w:pPr>
      <w:r>
        <w:rPr>
          <w:rFonts w:hint="eastAsia"/>
        </w:rPr>
        <w:t>鱼种质量要求</w:t>
      </w:r>
    </w:p>
    <w:p w:rsidR="00821456" w:rsidRDefault="00000000">
      <w:pPr>
        <w:pStyle w:val="afffffffff7"/>
      </w:pPr>
      <w:r>
        <w:rPr>
          <w:rFonts w:hint="eastAsia"/>
        </w:rPr>
        <w:t>应符合GB 11776要求，应选择规格整齐、大小均匀、体质健壮、色泽鲜艳、鳞片完整、无病无伤的2龄鱼种。</w:t>
      </w:r>
    </w:p>
    <w:p w:rsidR="00821456" w:rsidRDefault="00000000">
      <w:pPr>
        <w:pStyle w:val="afffffffff7"/>
      </w:pPr>
      <w:r>
        <w:rPr>
          <w:rFonts w:hint="eastAsia"/>
        </w:rPr>
        <w:t>购入鱼种应检验检疫合格。</w:t>
      </w:r>
    </w:p>
    <w:p w:rsidR="00821456" w:rsidRDefault="00000000">
      <w:pPr>
        <w:pStyle w:val="afff3"/>
        <w:spacing w:before="156" w:after="156"/>
      </w:pPr>
      <w:r>
        <w:rPr>
          <w:rFonts w:hint="eastAsia"/>
        </w:rPr>
        <w:t>鱼种运输</w:t>
      </w:r>
    </w:p>
    <w:p w:rsidR="00821456" w:rsidRDefault="00000000">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应符合SC/T 1075的规定，在运输工具、运输密度、运输方法上应根据实际情况灵活操作。</w:t>
      </w:r>
    </w:p>
    <w:p w:rsidR="00821456" w:rsidRDefault="00000000">
      <w:pPr>
        <w:pStyle w:val="afff3"/>
        <w:spacing w:before="156" w:after="156"/>
      </w:pPr>
      <w:r>
        <w:rPr>
          <w:rFonts w:hint="eastAsia"/>
        </w:rPr>
        <w:t>放养时间</w:t>
      </w:r>
    </w:p>
    <w:p w:rsidR="00821456" w:rsidRDefault="00000000">
      <w:pPr>
        <w:widowControl/>
        <w:tabs>
          <w:tab w:val="center" w:pos="4201"/>
          <w:tab w:val="right" w:leader="dot" w:pos="9298"/>
        </w:tabs>
        <w:autoSpaceDE w:val="0"/>
        <w:autoSpaceDN w:val="0"/>
        <w:adjustRightInd/>
        <w:spacing w:line="240" w:lineRule="auto"/>
        <w:ind w:firstLineChars="200" w:firstLine="420"/>
        <w:rPr>
          <w:rFonts w:ascii="宋体" w:hAnsi="宋体" w:hint="eastAsia"/>
          <w:kern w:val="0"/>
          <w:szCs w:val="20"/>
        </w:rPr>
      </w:pPr>
      <w:r>
        <w:rPr>
          <w:rFonts w:ascii="宋体" w:hAnsi="宋体" w:hint="eastAsia"/>
          <w:kern w:val="0"/>
          <w:szCs w:val="20"/>
        </w:rPr>
        <w:t>4月至5月，宜在水温18 ℃～20 ℃之间时放养鱼种。</w:t>
      </w:r>
    </w:p>
    <w:p w:rsidR="00821456" w:rsidRDefault="00000000">
      <w:pPr>
        <w:pStyle w:val="afff3"/>
        <w:spacing w:before="156" w:after="156"/>
      </w:pPr>
      <w:r>
        <w:rPr>
          <w:rFonts w:hint="eastAsia"/>
        </w:rPr>
        <w:t>放养模式、规格和密度</w:t>
      </w:r>
    </w:p>
    <w:p w:rsidR="00821456" w:rsidRDefault="00000000">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草鱼养殖过程中宜搭配其他鱼种混合养殖，草鱼鱼种放养模式及密度要求见表2。</w:t>
      </w:r>
    </w:p>
    <w:p w:rsidR="00821456" w:rsidRDefault="00000000">
      <w:pPr>
        <w:pStyle w:val="aff8"/>
        <w:numPr>
          <w:ilvl w:val="0"/>
          <w:numId w:val="0"/>
        </w:numPr>
        <w:spacing w:before="156" w:after="156"/>
      </w:pPr>
      <w:r>
        <w:rPr>
          <w:rFonts w:hint="eastAsia"/>
        </w:rPr>
        <w:t>表2  草鱼鱼种放养模式及密度</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5"/>
        <w:gridCol w:w="1883"/>
        <w:gridCol w:w="2626"/>
        <w:gridCol w:w="2950"/>
      </w:tblGrid>
      <w:tr w:rsidR="00821456">
        <w:trPr>
          <w:trHeight w:val="90"/>
          <w:jc w:val="center"/>
        </w:trPr>
        <w:tc>
          <w:tcPr>
            <w:tcW w:w="2010" w:type="pct"/>
            <w:gridSpan w:val="2"/>
            <w:tcBorders>
              <w:top w:val="single" w:sz="12" w:space="0" w:color="000000"/>
              <w:left w:val="single" w:sz="12" w:space="0" w:color="000000"/>
              <w:bottom w:val="single" w:sz="12" w:space="0" w:color="000000"/>
              <w:right w:val="single" w:sz="4" w:space="0" w:color="000000"/>
            </w:tcBorders>
            <w:shd w:val="clear" w:color="auto" w:fill="auto"/>
            <w:vAlign w:val="center"/>
          </w:tcPr>
          <w:p w:rsidR="00821456" w:rsidRDefault="00000000">
            <w:pPr>
              <w:widowControl/>
              <w:tabs>
                <w:tab w:val="center" w:pos="4201"/>
                <w:tab w:val="right" w:leader="dot" w:pos="9298"/>
              </w:tabs>
              <w:autoSpaceDE w:val="0"/>
              <w:autoSpaceDN w:val="0"/>
              <w:adjustRightInd/>
              <w:spacing w:line="240" w:lineRule="auto"/>
              <w:jc w:val="center"/>
              <w:rPr>
                <w:rFonts w:ascii="宋体" w:hAnsi="宋体" w:cs="宋体" w:hint="eastAsia"/>
                <w:kern w:val="0"/>
                <w:sz w:val="18"/>
                <w:szCs w:val="15"/>
              </w:rPr>
            </w:pPr>
            <w:r>
              <w:rPr>
                <w:rFonts w:ascii="宋体" w:hAnsi="宋体" w:cs="宋体" w:hint="eastAsia"/>
                <w:kern w:val="0"/>
                <w:sz w:val="18"/>
                <w:szCs w:val="15"/>
              </w:rPr>
              <w:t>品种</w:t>
            </w:r>
          </w:p>
        </w:tc>
        <w:tc>
          <w:tcPr>
            <w:tcW w:w="1408" w:type="pct"/>
            <w:tcBorders>
              <w:top w:val="single" w:sz="12" w:space="0" w:color="000000"/>
              <w:left w:val="single" w:sz="4" w:space="0" w:color="000000"/>
              <w:bottom w:val="single" w:sz="12" w:space="0" w:color="000000"/>
              <w:right w:val="single" w:sz="4" w:space="0" w:color="000000"/>
            </w:tcBorders>
            <w:shd w:val="clear" w:color="auto" w:fill="auto"/>
            <w:vAlign w:val="center"/>
          </w:tcPr>
          <w:p w:rsidR="00821456" w:rsidRDefault="00000000">
            <w:pPr>
              <w:widowControl/>
              <w:tabs>
                <w:tab w:val="center" w:pos="4201"/>
                <w:tab w:val="right" w:leader="dot" w:pos="9298"/>
              </w:tabs>
              <w:autoSpaceDE w:val="0"/>
              <w:autoSpaceDN w:val="0"/>
              <w:adjustRightInd/>
              <w:spacing w:line="240" w:lineRule="auto"/>
              <w:jc w:val="center"/>
              <w:rPr>
                <w:rFonts w:ascii="宋体" w:hAnsi="宋体" w:cs="宋体" w:hint="eastAsia"/>
                <w:kern w:val="0"/>
                <w:sz w:val="18"/>
                <w:szCs w:val="15"/>
              </w:rPr>
            </w:pPr>
            <w:r>
              <w:rPr>
                <w:rFonts w:ascii="宋体" w:hAnsi="宋体" w:cs="宋体" w:hint="eastAsia"/>
                <w:kern w:val="0"/>
                <w:sz w:val="18"/>
                <w:szCs w:val="15"/>
              </w:rPr>
              <w:t>放养规格</w:t>
            </w:r>
          </w:p>
          <w:p w:rsidR="00821456" w:rsidRDefault="00000000">
            <w:pPr>
              <w:widowControl/>
              <w:tabs>
                <w:tab w:val="center" w:pos="4201"/>
                <w:tab w:val="right" w:leader="dot" w:pos="9298"/>
              </w:tabs>
              <w:autoSpaceDE w:val="0"/>
              <w:autoSpaceDN w:val="0"/>
              <w:adjustRightInd/>
              <w:spacing w:line="240" w:lineRule="auto"/>
              <w:jc w:val="center"/>
              <w:rPr>
                <w:rFonts w:ascii="宋体" w:hAnsi="宋体" w:cs="宋体" w:hint="eastAsia"/>
                <w:kern w:val="0"/>
                <w:sz w:val="18"/>
                <w:szCs w:val="15"/>
              </w:rPr>
            </w:pPr>
            <w:r>
              <w:rPr>
                <w:rFonts w:ascii="宋体" w:hAnsi="宋体" w:cs="宋体" w:hint="eastAsia"/>
                <w:kern w:val="0"/>
                <w:sz w:val="18"/>
                <w:szCs w:val="15"/>
              </w:rPr>
              <w:t>g/尾</w:t>
            </w:r>
          </w:p>
        </w:tc>
        <w:tc>
          <w:tcPr>
            <w:tcW w:w="1582" w:type="pct"/>
            <w:tcBorders>
              <w:top w:val="single" w:sz="12" w:space="0" w:color="000000"/>
              <w:left w:val="single" w:sz="4" w:space="0" w:color="000000"/>
              <w:bottom w:val="single" w:sz="12" w:space="0" w:color="000000"/>
              <w:right w:val="single" w:sz="12" w:space="0" w:color="000000"/>
            </w:tcBorders>
            <w:shd w:val="clear" w:color="auto" w:fill="auto"/>
            <w:vAlign w:val="center"/>
          </w:tcPr>
          <w:p w:rsidR="00821456" w:rsidRDefault="00000000">
            <w:pPr>
              <w:widowControl/>
              <w:tabs>
                <w:tab w:val="center" w:pos="4201"/>
                <w:tab w:val="right" w:leader="dot" w:pos="9298"/>
              </w:tabs>
              <w:autoSpaceDE w:val="0"/>
              <w:autoSpaceDN w:val="0"/>
              <w:adjustRightInd/>
              <w:spacing w:line="240" w:lineRule="auto"/>
              <w:jc w:val="center"/>
              <w:rPr>
                <w:rFonts w:ascii="宋体" w:hAnsi="宋体" w:cs="宋体" w:hint="eastAsia"/>
                <w:kern w:val="0"/>
                <w:sz w:val="18"/>
                <w:szCs w:val="15"/>
              </w:rPr>
            </w:pPr>
            <w:r>
              <w:rPr>
                <w:rFonts w:ascii="宋体" w:hAnsi="宋体" w:cs="宋体" w:hint="eastAsia"/>
                <w:kern w:val="0"/>
                <w:sz w:val="18"/>
                <w:szCs w:val="15"/>
              </w:rPr>
              <w:t>放养密度</w:t>
            </w:r>
          </w:p>
          <w:p w:rsidR="00821456" w:rsidRDefault="00000000">
            <w:pPr>
              <w:widowControl/>
              <w:tabs>
                <w:tab w:val="center" w:pos="4201"/>
                <w:tab w:val="right" w:leader="dot" w:pos="9298"/>
              </w:tabs>
              <w:autoSpaceDE w:val="0"/>
              <w:autoSpaceDN w:val="0"/>
              <w:adjustRightInd/>
              <w:spacing w:line="240" w:lineRule="auto"/>
              <w:jc w:val="center"/>
              <w:rPr>
                <w:rFonts w:ascii="宋体" w:hAnsi="宋体" w:cs="宋体" w:hint="eastAsia"/>
                <w:kern w:val="0"/>
                <w:sz w:val="18"/>
                <w:szCs w:val="15"/>
              </w:rPr>
            </w:pPr>
            <w:r>
              <w:rPr>
                <w:rFonts w:ascii="宋体" w:hAnsi="宋体" w:cs="宋体" w:hint="eastAsia"/>
                <w:kern w:val="0"/>
                <w:sz w:val="18"/>
                <w:szCs w:val="15"/>
              </w:rPr>
              <w:t>尾/</w:t>
            </w:r>
            <w:r>
              <w:rPr>
                <w:rFonts w:ascii="宋体" w:hAnsi="宋体" w:cs="宋体"/>
                <w:kern w:val="0"/>
                <w:sz w:val="18"/>
                <w:szCs w:val="15"/>
              </w:rPr>
              <w:t>667</w:t>
            </w:r>
            <w:r>
              <w:rPr>
                <w:rFonts w:ascii="宋体" w:hAnsi="宋体" w:cs="宋体" w:hint="eastAsia"/>
                <w:kern w:val="0"/>
                <w:sz w:val="18"/>
                <w:szCs w:val="15"/>
              </w:rPr>
              <w:t>㎡</w:t>
            </w:r>
          </w:p>
        </w:tc>
      </w:tr>
      <w:tr w:rsidR="00821456">
        <w:trPr>
          <w:trHeight w:val="392"/>
          <w:jc w:val="center"/>
        </w:trPr>
        <w:tc>
          <w:tcPr>
            <w:tcW w:w="1000" w:type="pct"/>
            <w:tcBorders>
              <w:top w:val="single" w:sz="12" w:space="0" w:color="000000"/>
              <w:left w:val="single" w:sz="12" w:space="0" w:color="000000"/>
              <w:right w:val="single" w:sz="4" w:space="0" w:color="000000"/>
            </w:tcBorders>
            <w:shd w:val="clear" w:color="auto" w:fill="auto"/>
            <w:vAlign w:val="center"/>
          </w:tcPr>
          <w:p w:rsidR="00821456" w:rsidRDefault="00000000">
            <w:pPr>
              <w:widowControl/>
              <w:tabs>
                <w:tab w:val="center" w:pos="4201"/>
                <w:tab w:val="right" w:leader="dot" w:pos="9298"/>
              </w:tabs>
              <w:autoSpaceDE w:val="0"/>
              <w:autoSpaceDN w:val="0"/>
              <w:adjustRightInd/>
              <w:spacing w:line="240" w:lineRule="auto"/>
              <w:jc w:val="center"/>
              <w:rPr>
                <w:rFonts w:ascii="宋体" w:hAnsi="宋体" w:cs="宋体" w:hint="eastAsia"/>
                <w:kern w:val="0"/>
                <w:sz w:val="18"/>
                <w:szCs w:val="15"/>
              </w:rPr>
            </w:pPr>
            <w:r>
              <w:rPr>
                <w:rFonts w:ascii="宋体" w:hAnsi="宋体" w:cs="宋体" w:hint="eastAsia"/>
                <w:kern w:val="0"/>
                <w:sz w:val="18"/>
                <w:szCs w:val="15"/>
              </w:rPr>
              <w:t>主养</w:t>
            </w:r>
          </w:p>
        </w:tc>
        <w:tc>
          <w:tcPr>
            <w:tcW w:w="1009" w:type="pct"/>
            <w:tcBorders>
              <w:top w:val="single" w:sz="12" w:space="0" w:color="000000"/>
              <w:left w:val="single" w:sz="4" w:space="0" w:color="000000"/>
              <w:right w:val="single" w:sz="4" w:space="0" w:color="000000"/>
            </w:tcBorders>
            <w:shd w:val="clear" w:color="auto" w:fill="auto"/>
            <w:vAlign w:val="center"/>
          </w:tcPr>
          <w:p w:rsidR="00821456" w:rsidRDefault="00000000">
            <w:pPr>
              <w:widowControl/>
              <w:tabs>
                <w:tab w:val="center" w:pos="4201"/>
                <w:tab w:val="right" w:leader="dot" w:pos="9298"/>
              </w:tabs>
              <w:autoSpaceDE w:val="0"/>
              <w:autoSpaceDN w:val="0"/>
              <w:adjustRightInd/>
              <w:spacing w:line="240" w:lineRule="auto"/>
              <w:jc w:val="center"/>
              <w:rPr>
                <w:rFonts w:ascii="宋体" w:hAnsi="宋体" w:cs="宋体" w:hint="eastAsia"/>
                <w:kern w:val="0"/>
                <w:sz w:val="18"/>
                <w:szCs w:val="15"/>
              </w:rPr>
            </w:pPr>
            <w:r>
              <w:rPr>
                <w:rFonts w:ascii="宋体" w:hAnsi="宋体" w:cs="宋体" w:hint="eastAsia"/>
                <w:kern w:val="0"/>
                <w:sz w:val="18"/>
                <w:szCs w:val="15"/>
              </w:rPr>
              <w:t>草鱼</w:t>
            </w:r>
          </w:p>
        </w:tc>
        <w:tc>
          <w:tcPr>
            <w:tcW w:w="1408" w:type="pct"/>
            <w:tcBorders>
              <w:top w:val="single" w:sz="12" w:space="0" w:color="000000"/>
              <w:left w:val="single" w:sz="4" w:space="0" w:color="000000"/>
              <w:right w:val="single" w:sz="4" w:space="0" w:color="000000"/>
            </w:tcBorders>
            <w:shd w:val="clear" w:color="auto" w:fill="auto"/>
            <w:vAlign w:val="center"/>
          </w:tcPr>
          <w:p w:rsidR="00821456" w:rsidRDefault="00000000">
            <w:pPr>
              <w:widowControl/>
              <w:tabs>
                <w:tab w:val="center" w:pos="4201"/>
                <w:tab w:val="right" w:leader="dot" w:pos="9298"/>
              </w:tabs>
              <w:autoSpaceDE w:val="0"/>
              <w:autoSpaceDN w:val="0"/>
              <w:adjustRightInd/>
              <w:spacing w:line="240" w:lineRule="auto"/>
              <w:jc w:val="center"/>
              <w:rPr>
                <w:rFonts w:ascii="宋体" w:hAnsi="宋体" w:hint="eastAsia"/>
                <w:kern w:val="0"/>
                <w:sz w:val="18"/>
                <w:szCs w:val="16"/>
              </w:rPr>
            </w:pPr>
            <w:r>
              <w:rPr>
                <w:rFonts w:ascii="宋体" w:hAnsi="宋体" w:hint="eastAsia"/>
                <w:kern w:val="0"/>
                <w:sz w:val="18"/>
                <w:szCs w:val="16"/>
              </w:rPr>
              <w:t>250～50</w:t>
            </w:r>
            <w:r>
              <w:rPr>
                <w:rFonts w:ascii="宋体" w:hAnsi="宋体"/>
                <w:kern w:val="0"/>
                <w:sz w:val="18"/>
                <w:szCs w:val="16"/>
              </w:rPr>
              <w:t>0</w:t>
            </w:r>
          </w:p>
        </w:tc>
        <w:tc>
          <w:tcPr>
            <w:tcW w:w="1582" w:type="pct"/>
            <w:tcBorders>
              <w:top w:val="single" w:sz="12" w:space="0" w:color="000000"/>
              <w:left w:val="single" w:sz="4" w:space="0" w:color="000000"/>
              <w:right w:val="single" w:sz="12" w:space="0" w:color="000000"/>
            </w:tcBorders>
            <w:shd w:val="clear" w:color="auto" w:fill="auto"/>
            <w:vAlign w:val="center"/>
          </w:tcPr>
          <w:p w:rsidR="00821456" w:rsidRDefault="00000000">
            <w:pPr>
              <w:widowControl/>
              <w:tabs>
                <w:tab w:val="center" w:pos="4201"/>
                <w:tab w:val="right" w:leader="dot" w:pos="9298"/>
              </w:tabs>
              <w:autoSpaceDE w:val="0"/>
              <w:autoSpaceDN w:val="0"/>
              <w:adjustRightInd/>
              <w:spacing w:line="240" w:lineRule="auto"/>
              <w:jc w:val="center"/>
              <w:rPr>
                <w:rFonts w:ascii="宋体" w:hAnsi="宋体" w:hint="eastAsia"/>
                <w:kern w:val="0"/>
                <w:sz w:val="18"/>
                <w:szCs w:val="16"/>
              </w:rPr>
            </w:pPr>
            <w:r>
              <w:rPr>
                <w:rFonts w:ascii="宋体" w:hAnsi="宋体"/>
                <w:kern w:val="0"/>
                <w:sz w:val="18"/>
                <w:szCs w:val="16"/>
              </w:rPr>
              <w:t>1500</w:t>
            </w:r>
            <w:r>
              <w:rPr>
                <w:rFonts w:ascii="宋体" w:hAnsi="宋体" w:hint="eastAsia"/>
                <w:kern w:val="0"/>
                <w:sz w:val="18"/>
                <w:szCs w:val="16"/>
              </w:rPr>
              <w:t>～</w:t>
            </w:r>
            <w:r>
              <w:rPr>
                <w:rFonts w:ascii="宋体" w:hAnsi="宋体"/>
                <w:kern w:val="0"/>
                <w:sz w:val="18"/>
                <w:szCs w:val="16"/>
              </w:rPr>
              <w:t>2000</w:t>
            </w:r>
          </w:p>
        </w:tc>
      </w:tr>
      <w:tr w:rsidR="00821456">
        <w:trPr>
          <w:trHeight w:val="272"/>
          <w:jc w:val="center"/>
        </w:trPr>
        <w:tc>
          <w:tcPr>
            <w:tcW w:w="1000" w:type="pct"/>
            <w:vMerge w:val="restart"/>
            <w:tcBorders>
              <w:left w:val="single" w:sz="12" w:space="0" w:color="000000"/>
              <w:right w:val="single" w:sz="4" w:space="0" w:color="000000"/>
            </w:tcBorders>
            <w:shd w:val="clear" w:color="auto" w:fill="auto"/>
            <w:vAlign w:val="center"/>
          </w:tcPr>
          <w:p w:rsidR="00821456" w:rsidRDefault="00000000">
            <w:pPr>
              <w:widowControl/>
              <w:tabs>
                <w:tab w:val="center" w:pos="4201"/>
                <w:tab w:val="right" w:leader="dot" w:pos="9298"/>
              </w:tabs>
              <w:autoSpaceDE w:val="0"/>
              <w:autoSpaceDN w:val="0"/>
              <w:adjustRightInd/>
              <w:spacing w:line="240" w:lineRule="auto"/>
              <w:jc w:val="center"/>
              <w:rPr>
                <w:rFonts w:ascii="宋体" w:hAnsi="宋体" w:cs="宋体" w:hint="eastAsia"/>
                <w:kern w:val="0"/>
                <w:sz w:val="18"/>
                <w:szCs w:val="15"/>
              </w:rPr>
            </w:pPr>
            <w:r>
              <w:rPr>
                <w:rFonts w:ascii="宋体" w:hAnsi="宋体" w:cs="宋体" w:hint="eastAsia"/>
                <w:kern w:val="0"/>
                <w:sz w:val="18"/>
                <w:szCs w:val="15"/>
              </w:rPr>
              <w:t>搭配养殖</w:t>
            </w:r>
          </w:p>
        </w:tc>
        <w:tc>
          <w:tcPr>
            <w:tcW w:w="1009" w:type="pct"/>
            <w:tcBorders>
              <w:left w:val="single" w:sz="4" w:space="0" w:color="000000"/>
              <w:right w:val="single" w:sz="4" w:space="0" w:color="000000"/>
            </w:tcBorders>
            <w:shd w:val="clear" w:color="auto" w:fill="auto"/>
            <w:vAlign w:val="center"/>
          </w:tcPr>
          <w:p w:rsidR="00821456" w:rsidRDefault="00000000">
            <w:pPr>
              <w:widowControl/>
              <w:tabs>
                <w:tab w:val="center" w:pos="4201"/>
                <w:tab w:val="right" w:leader="dot" w:pos="9298"/>
              </w:tabs>
              <w:autoSpaceDE w:val="0"/>
              <w:autoSpaceDN w:val="0"/>
              <w:adjustRightInd/>
              <w:spacing w:line="240" w:lineRule="auto"/>
              <w:jc w:val="center"/>
              <w:rPr>
                <w:rFonts w:ascii="宋体" w:hAnsi="宋体" w:cs="宋体" w:hint="eastAsia"/>
                <w:kern w:val="0"/>
                <w:sz w:val="18"/>
                <w:szCs w:val="15"/>
              </w:rPr>
            </w:pPr>
            <w:r>
              <w:rPr>
                <w:rFonts w:ascii="宋体" w:hAnsi="宋体" w:cs="宋体" w:hint="eastAsia"/>
                <w:kern w:val="0"/>
                <w:sz w:val="18"/>
                <w:szCs w:val="15"/>
              </w:rPr>
              <w:t>花鲢</w:t>
            </w:r>
          </w:p>
        </w:tc>
        <w:tc>
          <w:tcPr>
            <w:tcW w:w="1408" w:type="pct"/>
            <w:tcBorders>
              <w:left w:val="single" w:sz="4" w:space="0" w:color="000000"/>
              <w:right w:val="single" w:sz="4" w:space="0" w:color="000000"/>
            </w:tcBorders>
            <w:shd w:val="clear" w:color="auto" w:fill="auto"/>
            <w:vAlign w:val="center"/>
          </w:tcPr>
          <w:p w:rsidR="00821456" w:rsidRDefault="00000000">
            <w:pPr>
              <w:widowControl/>
              <w:tabs>
                <w:tab w:val="center" w:pos="4201"/>
                <w:tab w:val="right" w:leader="dot" w:pos="9298"/>
              </w:tabs>
              <w:autoSpaceDE w:val="0"/>
              <w:autoSpaceDN w:val="0"/>
              <w:adjustRightInd/>
              <w:spacing w:line="240" w:lineRule="auto"/>
              <w:jc w:val="center"/>
              <w:rPr>
                <w:rFonts w:ascii="宋体" w:hAnsi="宋体" w:hint="eastAsia"/>
                <w:kern w:val="0"/>
                <w:sz w:val="18"/>
                <w:szCs w:val="16"/>
              </w:rPr>
            </w:pPr>
            <w:r>
              <w:rPr>
                <w:rFonts w:ascii="宋体" w:hAnsi="宋体" w:hint="eastAsia"/>
                <w:kern w:val="0"/>
                <w:sz w:val="18"/>
                <w:szCs w:val="16"/>
              </w:rPr>
              <w:t>300～500</w:t>
            </w:r>
          </w:p>
        </w:tc>
        <w:tc>
          <w:tcPr>
            <w:tcW w:w="1582" w:type="pct"/>
            <w:tcBorders>
              <w:left w:val="single" w:sz="4" w:space="0" w:color="000000"/>
              <w:right w:val="single" w:sz="12" w:space="0" w:color="000000"/>
            </w:tcBorders>
            <w:shd w:val="clear" w:color="auto" w:fill="auto"/>
            <w:vAlign w:val="center"/>
          </w:tcPr>
          <w:p w:rsidR="00821456" w:rsidRDefault="00000000">
            <w:pPr>
              <w:widowControl/>
              <w:tabs>
                <w:tab w:val="center" w:pos="4201"/>
                <w:tab w:val="right" w:leader="dot" w:pos="9298"/>
              </w:tabs>
              <w:autoSpaceDE w:val="0"/>
              <w:autoSpaceDN w:val="0"/>
              <w:adjustRightInd/>
              <w:spacing w:line="240" w:lineRule="auto"/>
              <w:jc w:val="center"/>
              <w:rPr>
                <w:rFonts w:ascii="宋体" w:hAnsi="宋体" w:hint="eastAsia"/>
                <w:kern w:val="0"/>
                <w:sz w:val="18"/>
                <w:szCs w:val="16"/>
              </w:rPr>
            </w:pPr>
            <w:r>
              <w:rPr>
                <w:rFonts w:ascii="宋体" w:hAnsi="宋体"/>
                <w:kern w:val="0"/>
                <w:sz w:val="18"/>
                <w:szCs w:val="16"/>
              </w:rPr>
              <w:t>50</w:t>
            </w:r>
            <w:r>
              <w:rPr>
                <w:rFonts w:ascii="宋体" w:hAnsi="宋体" w:hint="eastAsia"/>
                <w:kern w:val="0"/>
                <w:sz w:val="18"/>
                <w:szCs w:val="16"/>
              </w:rPr>
              <w:t>～</w:t>
            </w:r>
            <w:r>
              <w:rPr>
                <w:rFonts w:ascii="宋体" w:hAnsi="宋体"/>
                <w:kern w:val="0"/>
                <w:sz w:val="18"/>
                <w:szCs w:val="16"/>
              </w:rPr>
              <w:t>6</w:t>
            </w:r>
            <w:r>
              <w:rPr>
                <w:rFonts w:ascii="宋体" w:hAnsi="宋体" w:hint="eastAsia"/>
                <w:kern w:val="0"/>
                <w:sz w:val="18"/>
                <w:szCs w:val="16"/>
              </w:rPr>
              <w:t>0</w:t>
            </w:r>
          </w:p>
        </w:tc>
      </w:tr>
      <w:tr w:rsidR="00821456">
        <w:trPr>
          <w:trHeight w:val="322"/>
          <w:jc w:val="center"/>
        </w:trPr>
        <w:tc>
          <w:tcPr>
            <w:tcW w:w="1000" w:type="pct"/>
            <w:vMerge/>
            <w:tcBorders>
              <w:left w:val="single" w:sz="12" w:space="0" w:color="000000"/>
              <w:right w:val="single" w:sz="4" w:space="0" w:color="000000"/>
            </w:tcBorders>
            <w:shd w:val="clear" w:color="auto" w:fill="auto"/>
            <w:vAlign w:val="center"/>
          </w:tcPr>
          <w:p w:rsidR="00821456" w:rsidRDefault="00821456">
            <w:pPr>
              <w:widowControl/>
              <w:tabs>
                <w:tab w:val="center" w:pos="4201"/>
                <w:tab w:val="right" w:leader="dot" w:pos="9298"/>
              </w:tabs>
              <w:autoSpaceDE w:val="0"/>
              <w:autoSpaceDN w:val="0"/>
              <w:adjustRightInd/>
              <w:spacing w:line="240" w:lineRule="auto"/>
              <w:jc w:val="center"/>
              <w:rPr>
                <w:rFonts w:ascii="宋体" w:hAnsi="宋体" w:cs="宋体" w:hint="eastAsia"/>
                <w:kern w:val="0"/>
                <w:sz w:val="18"/>
                <w:szCs w:val="15"/>
              </w:rPr>
            </w:pPr>
          </w:p>
        </w:tc>
        <w:tc>
          <w:tcPr>
            <w:tcW w:w="1009" w:type="pct"/>
            <w:tcBorders>
              <w:left w:val="single" w:sz="4" w:space="0" w:color="000000"/>
              <w:right w:val="single" w:sz="4" w:space="0" w:color="000000"/>
            </w:tcBorders>
            <w:shd w:val="clear" w:color="auto" w:fill="auto"/>
            <w:vAlign w:val="center"/>
          </w:tcPr>
          <w:p w:rsidR="00821456" w:rsidRDefault="00000000">
            <w:pPr>
              <w:widowControl/>
              <w:tabs>
                <w:tab w:val="center" w:pos="4201"/>
                <w:tab w:val="right" w:leader="dot" w:pos="9298"/>
              </w:tabs>
              <w:autoSpaceDE w:val="0"/>
              <w:autoSpaceDN w:val="0"/>
              <w:adjustRightInd/>
              <w:spacing w:line="240" w:lineRule="auto"/>
              <w:jc w:val="center"/>
              <w:rPr>
                <w:rFonts w:ascii="宋体" w:hAnsi="宋体" w:cs="宋体" w:hint="eastAsia"/>
                <w:kern w:val="0"/>
                <w:sz w:val="18"/>
                <w:szCs w:val="15"/>
              </w:rPr>
            </w:pPr>
            <w:r>
              <w:rPr>
                <w:rFonts w:ascii="宋体" w:hAnsi="宋体" w:cs="宋体" w:hint="eastAsia"/>
                <w:kern w:val="0"/>
                <w:sz w:val="18"/>
                <w:szCs w:val="15"/>
              </w:rPr>
              <w:t>白鲢</w:t>
            </w:r>
          </w:p>
        </w:tc>
        <w:tc>
          <w:tcPr>
            <w:tcW w:w="1408" w:type="pct"/>
            <w:tcBorders>
              <w:left w:val="single" w:sz="4" w:space="0" w:color="000000"/>
              <w:right w:val="single" w:sz="4" w:space="0" w:color="000000"/>
            </w:tcBorders>
            <w:shd w:val="clear" w:color="auto" w:fill="auto"/>
            <w:vAlign w:val="center"/>
          </w:tcPr>
          <w:p w:rsidR="00821456" w:rsidRDefault="00000000">
            <w:pPr>
              <w:widowControl/>
              <w:tabs>
                <w:tab w:val="center" w:pos="4201"/>
                <w:tab w:val="right" w:leader="dot" w:pos="9298"/>
              </w:tabs>
              <w:autoSpaceDE w:val="0"/>
              <w:autoSpaceDN w:val="0"/>
              <w:adjustRightInd/>
              <w:spacing w:line="240" w:lineRule="auto"/>
              <w:jc w:val="center"/>
              <w:rPr>
                <w:rFonts w:ascii="宋体" w:hAnsi="宋体" w:hint="eastAsia"/>
                <w:kern w:val="0"/>
                <w:sz w:val="18"/>
                <w:szCs w:val="16"/>
              </w:rPr>
            </w:pPr>
            <w:r>
              <w:rPr>
                <w:rFonts w:ascii="宋体" w:hAnsi="宋体" w:hint="eastAsia"/>
                <w:kern w:val="0"/>
                <w:sz w:val="18"/>
                <w:szCs w:val="16"/>
              </w:rPr>
              <w:t>300～500</w:t>
            </w:r>
          </w:p>
        </w:tc>
        <w:tc>
          <w:tcPr>
            <w:tcW w:w="1582" w:type="pct"/>
            <w:tcBorders>
              <w:left w:val="single" w:sz="4" w:space="0" w:color="000000"/>
              <w:right w:val="single" w:sz="12" w:space="0" w:color="000000"/>
            </w:tcBorders>
            <w:shd w:val="clear" w:color="auto" w:fill="auto"/>
            <w:vAlign w:val="center"/>
          </w:tcPr>
          <w:p w:rsidR="00821456" w:rsidRDefault="00000000">
            <w:pPr>
              <w:widowControl/>
              <w:tabs>
                <w:tab w:val="center" w:pos="4201"/>
                <w:tab w:val="right" w:leader="dot" w:pos="9298"/>
              </w:tabs>
              <w:autoSpaceDE w:val="0"/>
              <w:autoSpaceDN w:val="0"/>
              <w:adjustRightInd/>
              <w:spacing w:line="240" w:lineRule="auto"/>
              <w:jc w:val="center"/>
              <w:rPr>
                <w:rFonts w:ascii="宋体" w:hAnsi="宋体" w:hint="eastAsia"/>
                <w:kern w:val="0"/>
                <w:sz w:val="18"/>
                <w:szCs w:val="16"/>
              </w:rPr>
            </w:pPr>
            <w:r>
              <w:rPr>
                <w:rFonts w:ascii="宋体" w:hAnsi="宋体"/>
                <w:kern w:val="0"/>
                <w:sz w:val="18"/>
                <w:szCs w:val="16"/>
              </w:rPr>
              <w:t>30</w:t>
            </w:r>
            <w:r>
              <w:rPr>
                <w:rFonts w:ascii="宋体" w:hAnsi="宋体" w:hint="eastAsia"/>
                <w:kern w:val="0"/>
                <w:sz w:val="18"/>
                <w:szCs w:val="16"/>
              </w:rPr>
              <w:t>～</w:t>
            </w:r>
            <w:r>
              <w:rPr>
                <w:rFonts w:ascii="宋体" w:hAnsi="宋体"/>
                <w:kern w:val="0"/>
                <w:sz w:val="18"/>
                <w:szCs w:val="16"/>
              </w:rPr>
              <w:t>4</w:t>
            </w:r>
            <w:r>
              <w:rPr>
                <w:rFonts w:ascii="宋体" w:hAnsi="宋体" w:hint="eastAsia"/>
                <w:kern w:val="0"/>
                <w:sz w:val="18"/>
                <w:szCs w:val="16"/>
              </w:rPr>
              <w:t>0</w:t>
            </w:r>
          </w:p>
        </w:tc>
      </w:tr>
      <w:tr w:rsidR="00821456">
        <w:trPr>
          <w:trHeight w:val="270"/>
          <w:jc w:val="center"/>
        </w:trPr>
        <w:tc>
          <w:tcPr>
            <w:tcW w:w="1000" w:type="pct"/>
            <w:vMerge/>
            <w:tcBorders>
              <w:left w:val="single" w:sz="12" w:space="0" w:color="000000"/>
              <w:bottom w:val="single" w:sz="12" w:space="0" w:color="000000"/>
              <w:right w:val="single" w:sz="4" w:space="0" w:color="000000"/>
            </w:tcBorders>
            <w:shd w:val="clear" w:color="auto" w:fill="auto"/>
            <w:vAlign w:val="center"/>
          </w:tcPr>
          <w:p w:rsidR="00821456" w:rsidRDefault="00821456">
            <w:pPr>
              <w:widowControl/>
              <w:tabs>
                <w:tab w:val="center" w:pos="4201"/>
                <w:tab w:val="right" w:leader="dot" w:pos="9298"/>
              </w:tabs>
              <w:autoSpaceDE w:val="0"/>
              <w:autoSpaceDN w:val="0"/>
              <w:adjustRightInd/>
              <w:spacing w:line="240" w:lineRule="auto"/>
              <w:jc w:val="center"/>
              <w:rPr>
                <w:rFonts w:ascii="宋体" w:hAnsi="宋体" w:cs="宋体" w:hint="eastAsia"/>
                <w:kern w:val="0"/>
                <w:sz w:val="18"/>
                <w:szCs w:val="15"/>
              </w:rPr>
            </w:pPr>
          </w:p>
        </w:tc>
        <w:tc>
          <w:tcPr>
            <w:tcW w:w="1009" w:type="pct"/>
            <w:tcBorders>
              <w:left w:val="single" w:sz="4" w:space="0" w:color="000000"/>
              <w:bottom w:val="single" w:sz="12" w:space="0" w:color="000000"/>
              <w:right w:val="single" w:sz="4" w:space="0" w:color="000000"/>
            </w:tcBorders>
            <w:shd w:val="clear" w:color="auto" w:fill="auto"/>
            <w:vAlign w:val="center"/>
          </w:tcPr>
          <w:p w:rsidR="00821456" w:rsidRDefault="00000000">
            <w:pPr>
              <w:widowControl/>
              <w:tabs>
                <w:tab w:val="center" w:pos="4201"/>
                <w:tab w:val="right" w:leader="dot" w:pos="9298"/>
              </w:tabs>
              <w:autoSpaceDE w:val="0"/>
              <w:autoSpaceDN w:val="0"/>
              <w:adjustRightInd/>
              <w:spacing w:line="240" w:lineRule="auto"/>
              <w:jc w:val="center"/>
              <w:rPr>
                <w:rFonts w:ascii="宋体" w:hAnsi="宋体" w:cs="宋体" w:hint="eastAsia"/>
                <w:kern w:val="0"/>
                <w:sz w:val="18"/>
                <w:szCs w:val="15"/>
              </w:rPr>
            </w:pPr>
            <w:r>
              <w:rPr>
                <w:rFonts w:ascii="宋体" w:hAnsi="宋体" w:cs="宋体" w:hint="eastAsia"/>
                <w:kern w:val="0"/>
                <w:sz w:val="18"/>
                <w:szCs w:val="15"/>
              </w:rPr>
              <w:t>鲫鱼</w:t>
            </w:r>
          </w:p>
        </w:tc>
        <w:tc>
          <w:tcPr>
            <w:tcW w:w="1408" w:type="pct"/>
            <w:tcBorders>
              <w:left w:val="single" w:sz="4" w:space="0" w:color="000000"/>
              <w:bottom w:val="single" w:sz="12" w:space="0" w:color="000000"/>
              <w:right w:val="single" w:sz="4" w:space="0" w:color="000000"/>
            </w:tcBorders>
            <w:shd w:val="clear" w:color="auto" w:fill="auto"/>
            <w:vAlign w:val="center"/>
          </w:tcPr>
          <w:p w:rsidR="00821456" w:rsidRDefault="00000000">
            <w:pPr>
              <w:widowControl/>
              <w:tabs>
                <w:tab w:val="center" w:pos="4201"/>
                <w:tab w:val="right" w:leader="dot" w:pos="9298"/>
              </w:tabs>
              <w:autoSpaceDE w:val="0"/>
              <w:autoSpaceDN w:val="0"/>
              <w:adjustRightInd/>
              <w:spacing w:line="240" w:lineRule="auto"/>
              <w:jc w:val="center"/>
              <w:rPr>
                <w:rFonts w:ascii="宋体" w:hAnsi="宋体" w:hint="eastAsia"/>
                <w:kern w:val="0"/>
                <w:sz w:val="18"/>
                <w:szCs w:val="16"/>
              </w:rPr>
            </w:pPr>
            <w:r>
              <w:rPr>
                <w:rFonts w:ascii="宋体" w:hAnsi="宋体"/>
                <w:kern w:val="0"/>
                <w:sz w:val="18"/>
                <w:szCs w:val="16"/>
              </w:rPr>
              <w:t>4</w:t>
            </w:r>
            <w:r>
              <w:rPr>
                <w:rFonts w:ascii="宋体" w:hAnsi="宋体" w:hint="eastAsia"/>
                <w:kern w:val="0"/>
                <w:sz w:val="18"/>
                <w:szCs w:val="16"/>
              </w:rPr>
              <w:t>0～6</w:t>
            </w:r>
            <w:r>
              <w:rPr>
                <w:rFonts w:ascii="宋体" w:hAnsi="宋体"/>
                <w:kern w:val="0"/>
                <w:sz w:val="18"/>
                <w:szCs w:val="16"/>
              </w:rPr>
              <w:t>0</w:t>
            </w:r>
          </w:p>
        </w:tc>
        <w:tc>
          <w:tcPr>
            <w:tcW w:w="1582" w:type="pct"/>
            <w:tcBorders>
              <w:left w:val="single" w:sz="4" w:space="0" w:color="000000"/>
              <w:bottom w:val="single" w:sz="12" w:space="0" w:color="000000"/>
              <w:right w:val="single" w:sz="12" w:space="0" w:color="000000"/>
            </w:tcBorders>
            <w:shd w:val="clear" w:color="auto" w:fill="auto"/>
            <w:vAlign w:val="center"/>
          </w:tcPr>
          <w:p w:rsidR="00821456" w:rsidRDefault="00000000">
            <w:pPr>
              <w:widowControl/>
              <w:tabs>
                <w:tab w:val="center" w:pos="4201"/>
                <w:tab w:val="right" w:leader="dot" w:pos="9298"/>
              </w:tabs>
              <w:autoSpaceDE w:val="0"/>
              <w:autoSpaceDN w:val="0"/>
              <w:adjustRightInd/>
              <w:spacing w:line="240" w:lineRule="auto"/>
              <w:jc w:val="center"/>
              <w:rPr>
                <w:rFonts w:ascii="宋体" w:hAnsi="宋体" w:hint="eastAsia"/>
                <w:kern w:val="0"/>
                <w:sz w:val="18"/>
                <w:szCs w:val="16"/>
              </w:rPr>
            </w:pPr>
            <w:r>
              <w:rPr>
                <w:rFonts w:ascii="宋体" w:hAnsi="宋体"/>
                <w:kern w:val="0"/>
                <w:sz w:val="18"/>
                <w:szCs w:val="16"/>
              </w:rPr>
              <w:t>800</w:t>
            </w:r>
            <w:r>
              <w:rPr>
                <w:rFonts w:ascii="宋体" w:hAnsi="宋体" w:hint="eastAsia"/>
                <w:kern w:val="0"/>
                <w:sz w:val="18"/>
                <w:szCs w:val="16"/>
              </w:rPr>
              <w:t>～</w:t>
            </w:r>
            <w:r>
              <w:rPr>
                <w:rFonts w:ascii="宋体" w:hAnsi="宋体"/>
                <w:kern w:val="0"/>
                <w:sz w:val="18"/>
                <w:szCs w:val="16"/>
              </w:rPr>
              <w:t>1200</w:t>
            </w:r>
          </w:p>
        </w:tc>
      </w:tr>
    </w:tbl>
    <w:p w:rsidR="00821456" w:rsidRDefault="00000000">
      <w:pPr>
        <w:pStyle w:val="afff3"/>
        <w:spacing w:before="156" w:after="156"/>
      </w:pPr>
      <w:r>
        <w:rPr>
          <w:rFonts w:hint="eastAsia"/>
        </w:rPr>
        <w:lastRenderedPageBreak/>
        <w:t>鱼种消毒</w:t>
      </w:r>
    </w:p>
    <w:p w:rsidR="00821456" w:rsidRDefault="00000000">
      <w:pPr>
        <w:pStyle w:val="afffffffff7"/>
      </w:pPr>
      <w:r>
        <w:rPr>
          <w:rFonts w:hint="eastAsia"/>
        </w:rPr>
        <w:t>鱼种放养前应进行消毒，宜用3 %～5 %的氯化钠水溶液或3 mg/L的聚维酮碘水溶液浸洗。</w:t>
      </w:r>
    </w:p>
    <w:p w:rsidR="00821456" w:rsidRDefault="00000000">
      <w:pPr>
        <w:pStyle w:val="afffffffff7"/>
      </w:pPr>
      <w:r>
        <w:rPr>
          <w:rFonts w:hint="eastAsia"/>
        </w:rPr>
        <w:t>消毒的时间应视水温高低、鱼的忍耐情况酌定，一般在5 min～10 min。</w:t>
      </w:r>
    </w:p>
    <w:p w:rsidR="00821456" w:rsidRDefault="00000000">
      <w:pPr>
        <w:pStyle w:val="afffffffff7"/>
      </w:pPr>
      <w:r>
        <w:rPr>
          <w:rFonts w:hint="eastAsia"/>
        </w:rPr>
        <w:t>鱼种消毒期间应注意观察鱼体状况。</w:t>
      </w:r>
    </w:p>
    <w:p w:rsidR="00821456" w:rsidRDefault="00000000">
      <w:pPr>
        <w:pStyle w:val="afff3"/>
        <w:spacing w:before="156" w:after="156"/>
      </w:pPr>
      <w:r>
        <w:rPr>
          <w:rFonts w:hint="eastAsia"/>
        </w:rPr>
        <w:t>放养方法</w:t>
      </w:r>
    </w:p>
    <w:p w:rsidR="00821456" w:rsidRDefault="00000000">
      <w:pPr>
        <w:pStyle w:val="afffffffff7"/>
      </w:pPr>
      <w:r>
        <w:rPr>
          <w:rFonts w:hint="eastAsia"/>
        </w:rPr>
        <w:t>应选择晴天，在上风头距池边1.5 m处，将装运鱼种的容器先放于池中，灌入少量池水，调整内外水温差小于2 ℃后，慢慢倾斜，使鱼种游入池中。</w:t>
      </w:r>
    </w:p>
    <w:p w:rsidR="00821456" w:rsidRDefault="00000000">
      <w:pPr>
        <w:pStyle w:val="afffffffff7"/>
      </w:pPr>
      <w:r>
        <w:rPr>
          <w:rFonts w:hint="eastAsia"/>
        </w:rPr>
        <w:t>放养时，应首先放养草鱼鱼种，并投饲15 d～20 d以后放养混养鱼种。</w:t>
      </w:r>
    </w:p>
    <w:p w:rsidR="00821456" w:rsidRDefault="00000000">
      <w:pPr>
        <w:pStyle w:val="afff3"/>
        <w:spacing w:before="156" w:after="156"/>
      </w:pPr>
      <w:r>
        <w:rPr>
          <w:rFonts w:hint="eastAsia"/>
        </w:rPr>
        <w:t>投放要求</w:t>
      </w:r>
    </w:p>
    <w:p w:rsidR="00821456" w:rsidRDefault="00000000">
      <w:pPr>
        <w:pStyle w:val="afffffffff7"/>
        <w:numPr>
          <w:ilvl w:val="0"/>
          <w:numId w:val="0"/>
        </w:numPr>
        <w:jc w:val="left"/>
      </w:pPr>
      <w:r>
        <w:rPr>
          <w:rFonts w:hint="eastAsia"/>
        </w:rPr>
        <w:t xml:space="preserve">   投放时水的温差应不超过3</w:t>
      </w:r>
      <w:r>
        <w:rPr>
          <w:rFonts w:hAnsi="宋体" w:hint="eastAsia"/>
        </w:rPr>
        <w:t xml:space="preserve"> ℃</w:t>
      </w:r>
      <w:r>
        <w:rPr>
          <w:rFonts w:hint="eastAsia"/>
        </w:rPr>
        <w:t>，投放过程要轻快，避免鱼种受伤。</w:t>
      </w:r>
    </w:p>
    <w:p w:rsidR="00821456" w:rsidRDefault="00000000">
      <w:pPr>
        <w:pStyle w:val="afff2"/>
        <w:spacing w:before="312" w:after="312"/>
      </w:pPr>
      <w:r>
        <w:rPr>
          <w:rFonts w:hint="eastAsia"/>
        </w:rPr>
        <w:t>饲养管理</w:t>
      </w:r>
    </w:p>
    <w:p w:rsidR="00821456" w:rsidRDefault="00000000">
      <w:pPr>
        <w:pStyle w:val="afff3"/>
        <w:spacing w:before="156" w:after="156"/>
      </w:pPr>
      <w:r>
        <w:rPr>
          <w:rFonts w:hint="eastAsia"/>
        </w:rPr>
        <w:t>饲料选择</w:t>
      </w:r>
    </w:p>
    <w:p w:rsidR="00821456" w:rsidRDefault="00000000">
      <w:pPr>
        <w:pStyle w:val="afffffffff7"/>
        <w:rPr>
          <w:rFonts w:hAnsi="宋体" w:hint="eastAsia"/>
        </w:rPr>
      </w:pPr>
      <w:r>
        <w:rPr>
          <w:rFonts w:hAnsi="宋体" w:hint="eastAsia"/>
        </w:rPr>
        <w:t>饲料质量应符合GB/T 36205和NY/T 471规定。</w:t>
      </w:r>
    </w:p>
    <w:p w:rsidR="00821456" w:rsidRDefault="00000000">
      <w:pPr>
        <w:pStyle w:val="afffffffff7"/>
        <w:rPr>
          <w:rFonts w:hAnsi="宋体" w:hint="eastAsia"/>
        </w:rPr>
      </w:pPr>
      <w:r>
        <w:rPr>
          <w:rFonts w:hAnsi="宋体" w:hint="eastAsia"/>
        </w:rPr>
        <w:t>应选用硬颗粒、膨化颗粒饲料，饲料粗蛋白质含量应为26%～28%，颗粒粒径应为2</w:t>
      </w:r>
      <w:r>
        <w:rPr>
          <w:rFonts w:hAnsi="宋体"/>
        </w:rPr>
        <w:t xml:space="preserve"> </w:t>
      </w:r>
      <w:r>
        <w:rPr>
          <w:rFonts w:hAnsi="宋体" w:hint="eastAsia"/>
        </w:rPr>
        <w:t>mm～8 mm。</w:t>
      </w:r>
    </w:p>
    <w:p w:rsidR="00821456" w:rsidRDefault="00000000">
      <w:pPr>
        <w:pStyle w:val="afff3"/>
        <w:spacing w:before="156" w:after="156"/>
      </w:pPr>
      <w:r>
        <w:rPr>
          <w:rFonts w:hint="eastAsia"/>
        </w:rPr>
        <w:t>投饲方法</w:t>
      </w:r>
    </w:p>
    <w:p w:rsidR="00821456" w:rsidRDefault="00000000">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硬颗粒饲料应用投饵机投饲，膨化饲料应搭设投饵框定点投喂。</w:t>
      </w:r>
    </w:p>
    <w:p w:rsidR="00821456" w:rsidRDefault="00000000">
      <w:pPr>
        <w:pStyle w:val="afff3"/>
        <w:spacing w:before="156" w:after="156"/>
      </w:pPr>
      <w:r>
        <w:rPr>
          <w:rFonts w:hint="eastAsia"/>
        </w:rPr>
        <w:t>投饲量及频次</w:t>
      </w:r>
    </w:p>
    <w:p w:rsidR="00821456" w:rsidRDefault="00000000">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苗种投放后，根据天气及水温情况适当进行饵料驯化，15 ℃～20 ℃时按 1 %～1.5 %投饲率投喂，每天投喂2次；20 ℃～25 ℃按 2%投饲率投喂，每天投喂3次；25 ℃～30 ℃按 3%～4%投饲率投喂，每天投喂4次。</w:t>
      </w:r>
    </w:p>
    <w:p w:rsidR="00821456" w:rsidRDefault="00000000">
      <w:pPr>
        <w:pStyle w:val="afff2"/>
        <w:spacing w:before="312" w:after="312"/>
      </w:pPr>
      <w:r>
        <w:rPr>
          <w:rFonts w:hint="eastAsia"/>
        </w:rPr>
        <w:t>日常管理</w:t>
      </w:r>
    </w:p>
    <w:p w:rsidR="00821456" w:rsidRDefault="00000000">
      <w:pPr>
        <w:pStyle w:val="afff3"/>
        <w:spacing w:before="156" w:after="156"/>
      </w:pPr>
      <w:r>
        <w:rPr>
          <w:rFonts w:hint="eastAsia"/>
        </w:rPr>
        <w:t>巡塘</w:t>
      </w:r>
    </w:p>
    <w:p w:rsidR="00821456" w:rsidRDefault="00000000">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每天早、晚各巡塘1次，观察水色变化、鱼类活动和摄食情况；检查塘基有无渗漏，防逃设施是否完好。</w:t>
      </w:r>
    </w:p>
    <w:p w:rsidR="00821456" w:rsidRDefault="00000000">
      <w:pPr>
        <w:pStyle w:val="afff3"/>
        <w:spacing w:before="156" w:after="156"/>
      </w:pPr>
      <w:r>
        <w:rPr>
          <w:rFonts w:hint="eastAsia"/>
        </w:rPr>
        <w:t>水质要求</w:t>
      </w:r>
    </w:p>
    <w:p w:rsidR="00821456" w:rsidRDefault="00000000">
      <w:pPr>
        <w:pStyle w:val="afffffb"/>
        <w:ind w:firstLine="420"/>
        <w:jc w:val="left"/>
      </w:pPr>
      <w:r>
        <w:rPr>
          <w:rFonts w:hint="eastAsia"/>
        </w:rPr>
        <w:t>水质应清新，溶氧量≥5 mg/L，透明度控制在30 cm以上。</w:t>
      </w:r>
    </w:p>
    <w:p w:rsidR="00821456" w:rsidRDefault="00000000">
      <w:pPr>
        <w:pStyle w:val="afff3"/>
        <w:spacing w:before="156" w:after="156"/>
      </w:pPr>
      <w:r>
        <w:rPr>
          <w:rFonts w:hint="eastAsia"/>
        </w:rPr>
        <w:t>水质调节</w:t>
      </w:r>
    </w:p>
    <w:p w:rsidR="00821456" w:rsidRDefault="00000000">
      <w:pPr>
        <w:pStyle w:val="afffffffff7"/>
      </w:pPr>
      <w:r>
        <w:t>视气温及水温情况，应遵循</w:t>
      </w:r>
      <w:r>
        <w:t>“</w:t>
      </w:r>
      <w:r>
        <w:t>春浅、夏满、秋勤、冬深</w:t>
      </w:r>
      <w:r>
        <w:t>”</w:t>
      </w:r>
      <w:r>
        <w:t>的蓄水原则，保持水深在1.5 m以上。</w:t>
      </w:r>
    </w:p>
    <w:p w:rsidR="00821456" w:rsidRDefault="00000000">
      <w:pPr>
        <w:pStyle w:val="afffffffff7"/>
      </w:pPr>
      <w:r>
        <w:rPr>
          <w:rFonts w:hint="eastAsia"/>
        </w:rPr>
        <w:t>宜</w:t>
      </w:r>
      <w:r>
        <w:t>依据</w:t>
      </w:r>
      <w:r>
        <w:t>“</w:t>
      </w:r>
      <w:r>
        <w:t>晴天中午、阴天清晨、连绵阴雨半夜开增氧机，傍晚、阴雨天中午不开增氧机</w:t>
      </w:r>
      <w:r>
        <w:t>”</w:t>
      </w:r>
      <w:r>
        <w:t>的原则适时开、关机，天气炎热、阴雨天时适当延长增氧机运转时间。</w:t>
      </w:r>
    </w:p>
    <w:p w:rsidR="00821456" w:rsidRDefault="00000000">
      <w:pPr>
        <w:pStyle w:val="afffffffff7"/>
      </w:pPr>
      <w:r>
        <w:t>微生物制剂使用应按照SC/T 1137规定进行，以改善水质，预防病害的发生。</w:t>
      </w:r>
    </w:p>
    <w:p w:rsidR="00821456" w:rsidRDefault="00000000">
      <w:pPr>
        <w:pStyle w:val="afff3"/>
        <w:spacing w:before="156" w:after="156"/>
      </w:pPr>
      <w:r>
        <w:rPr>
          <w:rFonts w:hint="eastAsia"/>
        </w:rPr>
        <w:lastRenderedPageBreak/>
        <w:t>水质监测</w:t>
      </w:r>
    </w:p>
    <w:p w:rsidR="00821456" w:rsidRDefault="00000000">
      <w:pPr>
        <w:pStyle w:val="afffffb"/>
        <w:ind w:firstLine="420"/>
      </w:pPr>
      <w:r>
        <w:rPr>
          <w:rFonts w:hint="eastAsia"/>
        </w:rPr>
        <w:t>应每天测量水温、溶解氧、pH值、透明度 、氨氮、亚硝酸盐等指标，每周检测一次藻相。其中溶解氧、pH值、氨氮、亚硝酸盐宜采用便携式水质分析仪测定。</w:t>
      </w:r>
    </w:p>
    <w:p w:rsidR="00821456" w:rsidRDefault="00000000">
      <w:pPr>
        <w:pStyle w:val="afff3"/>
        <w:spacing w:before="156" w:after="156"/>
      </w:pPr>
      <w:r>
        <w:rPr>
          <w:rFonts w:hint="eastAsia"/>
        </w:rPr>
        <w:t>土著微生物应用</w:t>
      </w:r>
    </w:p>
    <w:p w:rsidR="00821456" w:rsidRDefault="00000000">
      <w:pPr>
        <w:pStyle w:val="afffffffff7"/>
      </w:pPr>
      <w:r>
        <w:rPr>
          <w:rFonts w:hint="eastAsia"/>
        </w:rPr>
        <w:t>从养殖塘口淤泥及本地健康草鱼、鲫鱼等不同养殖品种肠道黏膜组织中分离筛选乳酸菌、芽孢杆菌、酵母菌等有益菌，经富集培养后筛选适宜该淤泥底质环境的优势菌群，获得土著有益微生物。</w:t>
      </w:r>
    </w:p>
    <w:p w:rsidR="00821456" w:rsidRDefault="00000000">
      <w:pPr>
        <w:pStyle w:val="afffffffff7"/>
      </w:pPr>
      <w:r>
        <w:rPr>
          <w:rFonts w:hint="eastAsia"/>
        </w:rPr>
        <w:t>使用土著有益微生物进行复合碳源发酵，形成发酵液（制备方法见附录A）。投苗后1个月内，每3</w:t>
      </w:r>
      <w:r>
        <w:t xml:space="preserve"> </w:t>
      </w:r>
      <w:r>
        <w:rPr>
          <w:rFonts w:hint="eastAsia"/>
        </w:rPr>
        <w:t>d施用1次发酵液，每次每6</w:t>
      </w:r>
      <w:r>
        <w:t>67</w:t>
      </w:r>
      <w:r>
        <w:rPr>
          <w:rFonts w:hint="eastAsia"/>
        </w:rPr>
        <w:t>㎡施用发酵菌液2</w:t>
      </w:r>
      <w:r>
        <w:t>.5</w:t>
      </w:r>
      <w:r>
        <w:rPr>
          <w:rFonts w:hint="eastAsia"/>
        </w:rPr>
        <w:t xml:space="preserve"> kg。1个月后每7</w:t>
      </w:r>
      <w:r>
        <w:t xml:space="preserve"> </w:t>
      </w:r>
      <w:r>
        <w:rPr>
          <w:rFonts w:hint="eastAsia"/>
        </w:rPr>
        <w:t>d施用1次，每次每6</w:t>
      </w:r>
      <w:r>
        <w:t>67</w:t>
      </w:r>
      <w:r>
        <w:rPr>
          <w:rFonts w:hint="eastAsia"/>
        </w:rPr>
        <w:t>㎡施用发酵菌液</w:t>
      </w:r>
      <w:r>
        <w:t>5</w:t>
      </w:r>
      <w:r>
        <w:rPr>
          <w:rFonts w:hint="eastAsia"/>
        </w:rPr>
        <w:t xml:space="preserve"> kg，在中后期可以配合光合细菌、EM菌同时施用。</w:t>
      </w:r>
    </w:p>
    <w:p w:rsidR="00821456" w:rsidRDefault="00000000">
      <w:pPr>
        <w:pStyle w:val="afff3"/>
        <w:spacing w:before="156" w:after="156"/>
      </w:pPr>
      <w:r>
        <w:rPr>
          <w:rFonts w:hint="eastAsia"/>
        </w:rPr>
        <w:t>其它管理</w:t>
      </w:r>
    </w:p>
    <w:p w:rsidR="00821456" w:rsidRDefault="00000000">
      <w:pPr>
        <w:pStyle w:val="afffffb"/>
        <w:ind w:firstLine="420"/>
        <w:jc w:val="left"/>
      </w:pPr>
      <w:r>
        <w:rPr>
          <w:rFonts w:hint="eastAsia"/>
        </w:rPr>
        <w:t>参照GB/T 20014.13和GB/T 20014.14进行。</w:t>
      </w:r>
    </w:p>
    <w:p w:rsidR="00821456" w:rsidRDefault="00000000">
      <w:pPr>
        <w:pStyle w:val="afff2"/>
        <w:spacing w:before="312" w:after="312"/>
      </w:pPr>
      <w:r>
        <w:rPr>
          <w:rFonts w:hint="eastAsia"/>
        </w:rPr>
        <w:t>病害防治</w:t>
      </w:r>
    </w:p>
    <w:p w:rsidR="00821456" w:rsidRDefault="00000000">
      <w:pPr>
        <w:pStyle w:val="afffffb"/>
        <w:ind w:firstLine="420"/>
        <w:jc w:val="left"/>
      </w:pPr>
      <w:r>
        <w:rPr>
          <w:rFonts w:hint="eastAsia"/>
        </w:rPr>
        <w:t>主要病害主要症状及其治疗方法见附录</w:t>
      </w:r>
      <w:r>
        <w:t>B，</w:t>
      </w:r>
      <w:r>
        <w:rPr>
          <w:rFonts w:hint="eastAsia"/>
        </w:rPr>
        <w:t>药物使用应按照NY/T 755、NY/T 393规定进行。</w:t>
      </w:r>
    </w:p>
    <w:p w:rsidR="00821456" w:rsidRDefault="00000000">
      <w:pPr>
        <w:pStyle w:val="afff2"/>
        <w:spacing w:before="312" w:after="312"/>
      </w:pPr>
      <w:r>
        <w:rPr>
          <w:rFonts w:hint="eastAsia"/>
        </w:rPr>
        <w:t>尾水排放</w:t>
      </w:r>
    </w:p>
    <w:p w:rsidR="00821456" w:rsidRDefault="00000000">
      <w:pPr>
        <w:pStyle w:val="afffffb"/>
        <w:ind w:firstLine="420"/>
        <w:jc w:val="left"/>
      </w:pPr>
      <w:r>
        <w:rPr>
          <w:rFonts w:hint="eastAsia"/>
        </w:rPr>
        <w:t>养殖尾水应经净化塘处理后才能排放。处理后的水质应符合DB32/ 4043中5.1要求。</w:t>
      </w:r>
    </w:p>
    <w:p w:rsidR="00821456" w:rsidRDefault="00000000">
      <w:pPr>
        <w:pStyle w:val="afff2"/>
        <w:spacing w:before="312" w:after="312"/>
      </w:pPr>
      <w:r>
        <w:rPr>
          <w:rFonts w:hint="eastAsia"/>
        </w:rPr>
        <w:t>废弃物处理</w:t>
      </w:r>
    </w:p>
    <w:p w:rsidR="00821456" w:rsidRDefault="00000000">
      <w:pPr>
        <w:pStyle w:val="afffffffff4"/>
      </w:pPr>
      <w:r>
        <w:rPr>
          <w:rFonts w:hint="eastAsia"/>
        </w:rPr>
        <w:t>生产资料包装物使用后应当场收集或集中处理，不应引起环境污染。</w:t>
      </w:r>
    </w:p>
    <w:p w:rsidR="00821456" w:rsidRDefault="00000000">
      <w:pPr>
        <w:pStyle w:val="afffffffff4"/>
      </w:pPr>
      <w:r>
        <w:rPr>
          <w:rFonts w:hint="eastAsia"/>
        </w:rPr>
        <w:t>养殖生产粪污及底泥经发酵后宜作为肥力还田，也可收集处理用于其他用途，不应随意排放。</w:t>
      </w:r>
    </w:p>
    <w:p w:rsidR="00821456" w:rsidRDefault="00000000">
      <w:pPr>
        <w:pStyle w:val="afffffffff4"/>
      </w:pPr>
      <w:r>
        <w:rPr>
          <w:rFonts w:hint="eastAsia"/>
        </w:rPr>
        <w:t>病死鱼无害化处理应按《病死及病害动物无害化处理技术规范》（农医发[2017]25号）执行。</w:t>
      </w:r>
    </w:p>
    <w:p w:rsidR="00821456" w:rsidRDefault="00000000">
      <w:pPr>
        <w:pStyle w:val="afff2"/>
        <w:spacing w:before="312" w:after="312"/>
      </w:pPr>
      <w:r>
        <w:rPr>
          <w:rFonts w:hint="eastAsia"/>
        </w:rPr>
        <w:t>捕捞</w:t>
      </w:r>
    </w:p>
    <w:p w:rsidR="00821456" w:rsidRDefault="00000000">
      <w:pPr>
        <w:pStyle w:val="afffffb"/>
        <w:ind w:firstLine="420"/>
        <w:jc w:val="left"/>
      </w:pPr>
      <w:r>
        <w:rPr>
          <w:rFonts w:hint="eastAsia"/>
        </w:rPr>
        <w:t>经 6 个月的养殖，草鱼经检验检测合格，平均规格在1500 g以上即可捕捞上市，排出池水，留1 m深水，用拉网捕获。</w:t>
      </w:r>
    </w:p>
    <w:p w:rsidR="00821456" w:rsidRDefault="00000000">
      <w:pPr>
        <w:pStyle w:val="afff2"/>
        <w:spacing w:before="312" w:after="312"/>
      </w:pPr>
      <w:r>
        <w:rPr>
          <w:rFonts w:hint="eastAsia"/>
        </w:rPr>
        <w:t>养殖档案管理</w:t>
      </w:r>
    </w:p>
    <w:p w:rsidR="00821456" w:rsidRDefault="00000000">
      <w:pPr>
        <w:pStyle w:val="afffffffff4"/>
        <w:rPr>
          <w:rFonts w:ascii="Times New Roman"/>
        </w:rPr>
      </w:pPr>
      <w:r>
        <w:rPr>
          <w:rFonts w:ascii="Times New Roman"/>
        </w:rPr>
        <w:t>养殖过程中应做好全程养殖生产的记录</w:t>
      </w:r>
      <w:r>
        <w:rPr>
          <w:rFonts w:ascii="Times New Roman" w:hint="eastAsia"/>
        </w:rPr>
        <w:t>，</w:t>
      </w:r>
      <w:r>
        <w:rPr>
          <w:rFonts w:ascii="Times New Roman"/>
        </w:rPr>
        <w:t>生产档案记</w:t>
      </w:r>
      <w:r>
        <w:t>录应符合NY/T 3204中要求</w:t>
      </w:r>
      <w:r>
        <w:rPr>
          <w:rFonts w:ascii="Times New Roman"/>
        </w:rPr>
        <w:t>。</w:t>
      </w:r>
    </w:p>
    <w:p w:rsidR="00821456" w:rsidRDefault="00000000">
      <w:pPr>
        <w:pStyle w:val="afffffffff4"/>
        <w:rPr>
          <w:rFonts w:ascii="Times New Roman"/>
        </w:rPr>
      </w:pPr>
      <w:r>
        <w:rPr>
          <w:rFonts w:ascii="Times New Roman"/>
        </w:rPr>
        <w:t>所有养殖档案记录应保存</w:t>
      </w:r>
      <w:r>
        <w:rPr>
          <w:rFonts w:ascii="Times New Roman"/>
        </w:rPr>
        <w:t>2</w:t>
      </w:r>
      <w:r>
        <w:rPr>
          <w:rFonts w:ascii="Times New Roman"/>
        </w:rPr>
        <w:t>年以上。</w:t>
      </w:r>
    </w:p>
    <w:p w:rsidR="00821456" w:rsidRDefault="00821456">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p>
    <w:p w:rsidR="00821456" w:rsidRDefault="00000000">
      <w:pPr>
        <w:widowControl/>
        <w:adjustRightInd/>
        <w:spacing w:line="240" w:lineRule="auto"/>
        <w:jc w:val="left"/>
        <w:rPr>
          <w:rFonts w:ascii="宋体" w:hAnsi="Times New Roman"/>
          <w:kern w:val="0"/>
          <w:szCs w:val="20"/>
        </w:rPr>
      </w:pPr>
      <w:r>
        <w:rPr>
          <w:rFonts w:ascii="Times New Roman" w:hAnsi="Times New Roman"/>
          <w:szCs w:val="24"/>
        </w:rPr>
        <w:br w:type="page"/>
      </w:r>
    </w:p>
    <w:p w:rsidR="00821456" w:rsidRDefault="00821456">
      <w:pPr>
        <w:pStyle w:val="afe"/>
        <w:rPr>
          <w:rFonts w:hint="eastAsia"/>
          <w:vanish w:val="0"/>
        </w:rPr>
      </w:pPr>
    </w:p>
    <w:p w:rsidR="00821456" w:rsidRDefault="00000000">
      <w:pPr>
        <w:pStyle w:val="aff9"/>
        <w:spacing w:before="0" w:afterLines="0" w:after="0"/>
      </w:pPr>
      <w:bookmarkStart w:id="45" w:name="BookMark5"/>
      <w:bookmarkEnd w:id="22"/>
      <w:r>
        <w:br/>
      </w:r>
      <w:r>
        <w:rPr>
          <w:rFonts w:hint="eastAsia"/>
        </w:rPr>
        <w:t>（资料性）</w:t>
      </w:r>
      <w:r>
        <w:br/>
      </w:r>
      <w:r>
        <w:rPr>
          <w:rFonts w:hint="eastAsia"/>
        </w:rPr>
        <w:t>土著有益微生物发酵液的制备方法</w:t>
      </w:r>
    </w:p>
    <w:p w:rsidR="00821456" w:rsidRDefault="00000000">
      <w:pPr>
        <w:pStyle w:val="afffffb"/>
        <w:spacing w:beforeLines="50" w:before="156"/>
        <w:ind w:firstLine="420"/>
      </w:pPr>
      <w:r>
        <w:rPr>
          <w:rFonts w:hint="eastAsia"/>
        </w:rPr>
        <w:t>表A.1规定了土著有益微生物发酵液制备的原料及配比。</w:t>
      </w:r>
    </w:p>
    <w:p w:rsidR="00821456" w:rsidRDefault="00000000">
      <w:pPr>
        <w:pStyle w:val="aff5"/>
        <w:numPr>
          <w:ilvl w:val="0"/>
          <w:numId w:val="0"/>
        </w:numPr>
        <w:spacing w:before="156" w:after="156"/>
        <w:ind w:left="2411"/>
        <w:jc w:val="both"/>
      </w:pPr>
      <w:r>
        <w:rPr>
          <w:rFonts w:hint="eastAsia"/>
        </w:rPr>
        <w:t>表A.1土著有益微生物发酵液制备的原料及配比</w:t>
      </w:r>
    </w:p>
    <w:tbl>
      <w:tblPr>
        <w:tblStyle w:val="affffd"/>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56"/>
        <w:gridCol w:w="4668"/>
      </w:tblGrid>
      <w:tr w:rsidR="00821456">
        <w:trPr>
          <w:trHeight w:val="268"/>
          <w:tblHeader/>
          <w:jc w:val="center"/>
        </w:trPr>
        <w:tc>
          <w:tcPr>
            <w:tcW w:w="2497" w:type="pct"/>
            <w:tcBorders>
              <w:top w:val="single" w:sz="12" w:space="0" w:color="000000"/>
              <w:left w:val="single" w:sz="12" w:space="0" w:color="000000"/>
              <w:bottom w:val="single" w:sz="12" w:space="0" w:color="000000"/>
              <w:right w:val="single" w:sz="8" w:space="0" w:color="000000"/>
            </w:tcBorders>
            <w:shd w:val="clear" w:color="auto" w:fill="auto"/>
            <w:vAlign w:val="center"/>
          </w:tcPr>
          <w:p w:rsidR="00821456" w:rsidRDefault="00000000">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名称</w:t>
            </w:r>
          </w:p>
        </w:tc>
        <w:tc>
          <w:tcPr>
            <w:tcW w:w="2503" w:type="pct"/>
            <w:tcBorders>
              <w:top w:val="single" w:sz="12" w:space="0" w:color="000000"/>
              <w:left w:val="single" w:sz="8" w:space="0" w:color="000000"/>
              <w:bottom w:val="single" w:sz="12" w:space="0" w:color="000000"/>
              <w:right w:val="single" w:sz="12" w:space="0" w:color="000000"/>
            </w:tcBorders>
            <w:shd w:val="clear" w:color="auto" w:fill="auto"/>
            <w:vAlign w:val="center"/>
          </w:tcPr>
          <w:p w:rsidR="00821456" w:rsidRDefault="00000000">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重量/kg</w:t>
            </w:r>
          </w:p>
        </w:tc>
      </w:tr>
      <w:tr w:rsidR="00821456">
        <w:trPr>
          <w:jc w:val="center"/>
        </w:trPr>
        <w:tc>
          <w:tcPr>
            <w:tcW w:w="2497" w:type="pct"/>
            <w:tcBorders>
              <w:top w:val="single" w:sz="12" w:space="0" w:color="000000"/>
              <w:left w:val="single" w:sz="12" w:space="0" w:color="000000"/>
              <w:bottom w:val="single" w:sz="8" w:space="0" w:color="000000"/>
              <w:right w:val="single" w:sz="8" w:space="0" w:color="000000"/>
            </w:tcBorders>
            <w:shd w:val="clear" w:color="auto" w:fill="auto"/>
            <w:vAlign w:val="center"/>
          </w:tcPr>
          <w:p w:rsidR="00821456" w:rsidRDefault="00000000">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红糖</w:t>
            </w:r>
          </w:p>
        </w:tc>
        <w:tc>
          <w:tcPr>
            <w:tcW w:w="2503" w:type="pct"/>
            <w:tcBorders>
              <w:top w:val="single" w:sz="12" w:space="0" w:color="000000"/>
              <w:left w:val="single" w:sz="8" w:space="0" w:color="000000"/>
              <w:bottom w:val="single" w:sz="8" w:space="0" w:color="000000"/>
              <w:right w:val="single" w:sz="12" w:space="0" w:color="000000"/>
            </w:tcBorders>
            <w:shd w:val="clear" w:color="auto" w:fill="auto"/>
            <w:vAlign w:val="center"/>
          </w:tcPr>
          <w:p w:rsidR="00821456" w:rsidRDefault="00000000">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10.0</w:t>
            </w:r>
          </w:p>
        </w:tc>
      </w:tr>
      <w:tr w:rsidR="00821456">
        <w:trPr>
          <w:jc w:val="center"/>
        </w:trPr>
        <w:tc>
          <w:tcPr>
            <w:tcW w:w="2497" w:type="pct"/>
            <w:tcBorders>
              <w:top w:val="single" w:sz="8" w:space="0" w:color="000000"/>
              <w:left w:val="single" w:sz="12" w:space="0" w:color="000000"/>
              <w:bottom w:val="single" w:sz="8" w:space="0" w:color="000000"/>
              <w:right w:val="single" w:sz="8" w:space="0" w:color="000000"/>
            </w:tcBorders>
            <w:shd w:val="clear" w:color="auto" w:fill="auto"/>
            <w:vAlign w:val="center"/>
          </w:tcPr>
          <w:p w:rsidR="00821456" w:rsidRDefault="00000000">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麦麸</w:t>
            </w:r>
          </w:p>
        </w:tc>
        <w:tc>
          <w:tcPr>
            <w:tcW w:w="2503" w:type="pct"/>
            <w:tcBorders>
              <w:top w:val="single" w:sz="8" w:space="0" w:color="000000"/>
              <w:left w:val="single" w:sz="8" w:space="0" w:color="000000"/>
              <w:bottom w:val="single" w:sz="8" w:space="0" w:color="000000"/>
              <w:right w:val="single" w:sz="12" w:space="0" w:color="000000"/>
            </w:tcBorders>
            <w:shd w:val="clear" w:color="auto" w:fill="auto"/>
            <w:vAlign w:val="center"/>
          </w:tcPr>
          <w:p w:rsidR="00821456" w:rsidRDefault="00000000">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10.0</w:t>
            </w:r>
          </w:p>
        </w:tc>
      </w:tr>
      <w:tr w:rsidR="00821456">
        <w:trPr>
          <w:jc w:val="center"/>
        </w:trPr>
        <w:tc>
          <w:tcPr>
            <w:tcW w:w="2497" w:type="pct"/>
            <w:tcBorders>
              <w:top w:val="single" w:sz="8" w:space="0" w:color="000000"/>
              <w:left w:val="single" w:sz="12" w:space="0" w:color="000000"/>
              <w:bottom w:val="single" w:sz="8" w:space="0" w:color="000000"/>
              <w:right w:val="single" w:sz="8" w:space="0" w:color="000000"/>
            </w:tcBorders>
            <w:shd w:val="clear" w:color="auto" w:fill="auto"/>
            <w:vAlign w:val="center"/>
          </w:tcPr>
          <w:p w:rsidR="00821456" w:rsidRDefault="00000000">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豆粕</w:t>
            </w:r>
          </w:p>
        </w:tc>
        <w:tc>
          <w:tcPr>
            <w:tcW w:w="2503" w:type="pct"/>
            <w:tcBorders>
              <w:top w:val="single" w:sz="8" w:space="0" w:color="000000"/>
              <w:left w:val="single" w:sz="8" w:space="0" w:color="000000"/>
              <w:bottom w:val="single" w:sz="8" w:space="0" w:color="000000"/>
              <w:right w:val="single" w:sz="12" w:space="0" w:color="000000"/>
            </w:tcBorders>
            <w:shd w:val="clear" w:color="auto" w:fill="auto"/>
            <w:vAlign w:val="center"/>
          </w:tcPr>
          <w:p w:rsidR="00821456" w:rsidRDefault="00000000">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10.0</w:t>
            </w:r>
          </w:p>
        </w:tc>
      </w:tr>
      <w:tr w:rsidR="00821456">
        <w:trPr>
          <w:jc w:val="center"/>
        </w:trPr>
        <w:tc>
          <w:tcPr>
            <w:tcW w:w="2497" w:type="pct"/>
            <w:tcBorders>
              <w:top w:val="single" w:sz="8" w:space="0" w:color="000000"/>
              <w:left w:val="single" w:sz="12" w:space="0" w:color="000000"/>
              <w:bottom w:val="single" w:sz="8" w:space="0" w:color="000000"/>
              <w:right w:val="single" w:sz="8" w:space="0" w:color="000000"/>
            </w:tcBorders>
            <w:shd w:val="clear" w:color="auto" w:fill="auto"/>
            <w:vAlign w:val="center"/>
          </w:tcPr>
          <w:p w:rsidR="00821456" w:rsidRDefault="00000000">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自来水</w:t>
            </w:r>
          </w:p>
        </w:tc>
        <w:tc>
          <w:tcPr>
            <w:tcW w:w="2503" w:type="pct"/>
            <w:tcBorders>
              <w:top w:val="single" w:sz="8" w:space="0" w:color="000000"/>
              <w:left w:val="single" w:sz="8" w:space="0" w:color="000000"/>
              <w:bottom w:val="single" w:sz="8" w:space="0" w:color="000000"/>
              <w:right w:val="single" w:sz="12" w:space="0" w:color="000000"/>
            </w:tcBorders>
            <w:shd w:val="clear" w:color="auto" w:fill="auto"/>
            <w:vAlign w:val="center"/>
          </w:tcPr>
          <w:p w:rsidR="00821456" w:rsidRDefault="00000000">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50.0</w:t>
            </w:r>
          </w:p>
        </w:tc>
      </w:tr>
      <w:tr w:rsidR="00821456">
        <w:trPr>
          <w:jc w:val="center"/>
        </w:trPr>
        <w:tc>
          <w:tcPr>
            <w:tcW w:w="2497" w:type="pct"/>
            <w:tcBorders>
              <w:top w:val="single" w:sz="8" w:space="0" w:color="000000"/>
              <w:left w:val="single" w:sz="12" w:space="0" w:color="000000"/>
              <w:bottom w:val="single" w:sz="12" w:space="0" w:color="000000"/>
              <w:right w:val="single" w:sz="8" w:space="0" w:color="000000"/>
            </w:tcBorders>
            <w:shd w:val="clear" w:color="auto" w:fill="auto"/>
            <w:vAlign w:val="center"/>
          </w:tcPr>
          <w:p w:rsidR="00821456" w:rsidRDefault="00000000">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土著</w:t>
            </w:r>
            <w:r>
              <w:rPr>
                <w:rFonts w:ascii="宋体" w:hAnsi="Times New Roman" w:hint="eastAsia"/>
                <w:kern w:val="0"/>
                <w:sz w:val="18"/>
                <w:szCs w:val="20"/>
              </w:rPr>
              <w:t>有益微生物菌液</w:t>
            </w:r>
          </w:p>
        </w:tc>
        <w:tc>
          <w:tcPr>
            <w:tcW w:w="2503" w:type="pct"/>
            <w:tcBorders>
              <w:top w:val="single" w:sz="8" w:space="0" w:color="000000"/>
              <w:left w:val="single" w:sz="8" w:space="0" w:color="000000"/>
              <w:bottom w:val="single" w:sz="12" w:space="0" w:color="000000"/>
              <w:right w:val="single" w:sz="12" w:space="0" w:color="000000"/>
            </w:tcBorders>
            <w:shd w:val="clear" w:color="auto" w:fill="auto"/>
            <w:vAlign w:val="center"/>
          </w:tcPr>
          <w:p w:rsidR="00821456" w:rsidRDefault="00000000">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1.0</w:t>
            </w:r>
          </w:p>
        </w:tc>
      </w:tr>
    </w:tbl>
    <w:p w:rsidR="00821456" w:rsidRDefault="00000000">
      <w:pPr>
        <w:pStyle w:val="affa"/>
        <w:spacing w:before="156" w:after="156"/>
      </w:pPr>
      <w:r>
        <w:rPr>
          <w:rFonts w:hint="eastAsia"/>
        </w:rPr>
        <w:t>发酵液的制作方法</w:t>
      </w:r>
    </w:p>
    <w:p w:rsidR="00821456" w:rsidRDefault="00000000">
      <w:pPr>
        <w:pStyle w:val="afffffb"/>
        <w:ind w:firstLine="420"/>
        <w:rPr>
          <w:rFonts w:hAnsi="宋体" w:cs="宋体" w:hint="eastAsia"/>
        </w:rPr>
      </w:pPr>
      <w:r>
        <w:rPr>
          <w:rFonts w:hAnsi="宋体" w:cs="宋体" w:hint="eastAsia"/>
          <w:kern w:val="2"/>
          <w:szCs w:val="21"/>
        </w:rPr>
        <w:t>用不透光蓝色桶加入自来水50 kg，加入发酵液原料搅拌溶解后密封发酵，当气温在25 ℃～30 ℃时，4 d～5 d即可发酵完成。表现为白色菌膜明显，气味呈淡淡的酒香味和乳酸味，pH 4.0左右。</w:t>
      </w:r>
    </w:p>
    <w:p w:rsidR="00821456" w:rsidRDefault="00000000">
      <w:pPr>
        <w:widowControl/>
        <w:adjustRightInd/>
        <w:spacing w:line="240" w:lineRule="auto"/>
        <w:jc w:val="left"/>
        <w:rPr>
          <w:rFonts w:ascii="宋体" w:hAnsi="宋体" w:cs="宋体" w:hint="eastAsia"/>
          <w:kern w:val="0"/>
          <w:szCs w:val="20"/>
        </w:rPr>
      </w:pPr>
      <w:r>
        <w:rPr>
          <w:rFonts w:ascii="宋体" w:hAnsi="宋体" w:cs="宋体" w:hint="eastAsia"/>
        </w:rPr>
        <w:br w:type="page"/>
      </w:r>
    </w:p>
    <w:p w:rsidR="00821456" w:rsidRDefault="00000000">
      <w:pPr>
        <w:pStyle w:val="aff9"/>
        <w:spacing w:after="156"/>
      </w:pPr>
      <w:r>
        <w:lastRenderedPageBreak/>
        <w:br/>
      </w:r>
      <w:r>
        <w:rPr>
          <w:rFonts w:hint="eastAsia"/>
        </w:rPr>
        <w:t>（资料性）</w:t>
      </w:r>
      <w:r>
        <w:br/>
      </w:r>
      <w:r>
        <w:rPr>
          <w:rFonts w:hint="eastAsia"/>
        </w:rPr>
        <w:t>草鱼成鱼池塘养殖主要病害及其治疗方法</w:t>
      </w:r>
    </w:p>
    <w:p w:rsidR="00821456" w:rsidRDefault="00000000">
      <w:pPr>
        <w:pStyle w:val="afffffb"/>
        <w:ind w:firstLine="420"/>
      </w:pPr>
      <w:r>
        <w:rPr>
          <w:rFonts w:hint="eastAsia"/>
        </w:rPr>
        <w:t>表</w:t>
      </w:r>
      <w:r>
        <w:t>B.1</w:t>
      </w:r>
      <w:r>
        <w:rPr>
          <w:rFonts w:hint="eastAsia"/>
        </w:rPr>
        <w:t>规定了草鱼成鱼池塘养殖主要病害及其治疗方法。</w:t>
      </w:r>
    </w:p>
    <w:p w:rsidR="00821456" w:rsidRDefault="00000000">
      <w:pPr>
        <w:pStyle w:val="aff5"/>
        <w:numPr>
          <w:ilvl w:val="0"/>
          <w:numId w:val="0"/>
        </w:numPr>
        <w:spacing w:before="156" w:after="156"/>
        <w:ind w:left="2411"/>
        <w:jc w:val="both"/>
      </w:pPr>
      <w:r>
        <w:rPr>
          <w:rFonts w:hint="eastAsia"/>
        </w:rPr>
        <w:t>表B.1草鱼成鱼池塘养殖主要病害及其治疗方法</w:t>
      </w:r>
    </w:p>
    <w:tbl>
      <w:tblPr>
        <w:tblW w:w="504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4"/>
        <w:gridCol w:w="1390"/>
        <w:gridCol w:w="2038"/>
        <w:gridCol w:w="2158"/>
        <w:gridCol w:w="1483"/>
        <w:gridCol w:w="1206"/>
      </w:tblGrid>
      <w:tr w:rsidR="00821456">
        <w:tc>
          <w:tcPr>
            <w:tcW w:w="603" w:type="pct"/>
            <w:tcBorders>
              <w:top w:val="single" w:sz="8" w:space="0" w:color="auto"/>
              <w:bottom w:val="single" w:sz="8" w:space="0" w:color="auto"/>
            </w:tcBorders>
            <w:shd w:val="clear" w:color="auto" w:fill="auto"/>
            <w:vAlign w:val="center"/>
          </w:tcPr>
          <w:p w:rsidR="00821456" w:rsidRDefault="00000000">
            <w:pPr>
              <w:tabs>
                <w:tab w:val="center" w:pos="4201"/>
                <w:tab w:val="right" w:leader="dot" w:pos="9298"/>
              </w:tabs>
              <w:autoSpaceDE w:val="0"/>
              <w:autoSpaceDN w:val="0"/>
              <w:adjustRightInd/>
              <w:spacing w:line="240" w:lineRule="auto"/>
              <w:jc w:val="center"/>
              <w:rPr>
                <w:rFonts w:ascii="宋体" w:hAnsi="宋体" w:hint="eastAsia"/>
                <w:kern w:val="0"/>
                <w:sz w:val="18"/>
                <w:szCs w:val="16"/>
              </w:rPr>
            </w:pPr>
            <w:r>
              <w:rPr>
                <w:rFonts w:ascii="宋体" w:hAnsi="宋体"/>
                <w:kern w:val="0"/>
                <w:sz w:val="18"/>
                <w:szCs w:val="16"/>
              </w:rPr>
              <w:t>防治对象</w:t>
            </w:r>
          </w:p>
        </w:tc>
        <w:tc>
          <w:tcPr>
            <w:tcW w:w="738" w:type="pct"/>
            <w:tcBorders>
              <w:top w:val="single" w:sz="8" w:space="0" w:color="auto"/>
              <w:bottom w:val="single" w:sz="8" w:space="0" w:color="auto"/>
            </w:tcBorders>
            <w:shd w:val="clear" w:color="auto" w:fill="auto"/>
            <w:vAlign w:val="center"/>
          </w:tcPr>
          <w:p w:rsidR="00821456" w:rsidRDefault="00000000">
            <w:pPr>
              <w:tabs>
                <w:tab w:val="center" w:pos="4201"/>
                <w:tab w:val="right" w:leader="dot" w:pos="9298"/>
              </w:tabs>
              <w:autoSpaceDE w:val="0"/>
              <w:autoSpaceDN w:val="0"/>
              <w:adjustRightInd/>
              <w:spacing w:line="240" w:lineRule="auto"/>
              <w:jc w:val="center"/>
              <w:rPr>
                <w:rFonts w:ascii="宋体" w:hAnsi="宋体" w:hint="eastAsia"/>
                <w:kern w:val="0"/>
                <w:sz w:val="18"/>
                <w:szCs w:val="16"/>
              </w:rPr>
            </w:pPr>
            <w:r>
              <w:rPr>
                <w:rFonts w:ascii="宋体" w:hAnsi="宋体"/>
                <w:kern w:val="0"/>
                <w:sz w:val="18"/>
                <w:szCs w:val="16"/>
              </w:rPr>
              <w:t>防治时期</w:t>
            </w:r>
          </w:p>
        </w:tc>
        <w:tc>
          <w:tcPr>
            <w:tcW w:w="1082" w:type="pct"/>
            <w:tcBorders>
              <w:top w:val="single" w:sz="8" w:space="0" w:color="auto"/>
              <w:bottom w:val="single" w:sz="8" w:space="0" w:color="auto"/>
            </w:tcBorders>
            <w:shd w:val="clear" w:color="auto" w:fill="auto"/>
            <w:vAlign w:val="center"/>
          </w:tcPr>
          <w:p w:rsidR="00821456" w:rsidRDefault="00000000">
            <w:pPr>
              <w:tabs>
                <w:tab w:val="center" w:pos="4201"/>
                <w:tab w:val="right" w:leader="dot" w:pos="9298"/>
              </w:tabs>
              <w:autoSpaceDE w:val="0"/>
              <w:autoSpaceDN w:val="0"/>
              <w:adjustRightInd/>
              <w:spacing w:line="240" w:lineRule="auto"/>
              <w:jc w:val="center"/>
              <w:rPr>
                <w:rFonts w:ascii="宋体" w:hAnsi="宋体" w:hint="eastAsia"/>
                <w:kern w:val="0"/>
                <w:sz w:val="18"/>
                <w:szCs w:val="16"/>
              </w:rPr>
            </w:pPr>
            <w:r>
              <w:rPr>
                <w:rFonts w:ascii="宋体" w:hAnsi="宋体"/>
                <w:kern w:val="0"/>
                <w:sz w:val="18"/>
                <w:szCs w:val="16"/>
              </w:rPr>
              <w:t>鱼药名称</w:t>
            </w:r>
          </w:p>
        </w:tc>
        <w:tc>
          <w:tcPr>
            <w:tcW w:w="1146" w:type="pct"/>
            <w:tcBorders>
              <w:top w:val="single" w:sz="8" w:space="0" w:color="auto"/>
              <w:bottom w:val="single" w:sz="8" w:space="0" w:color="auto"/>
            </w:tcBorders>
            <w:shd w:val="clear" w:color="auto" w:fill="auto"/>
            <w:vAlign w:val="center"/>
          </w:tcPr>
          <w:p w:rsidR="00821456" w:rsidRDefault="00000000">
            <w:pPr>
              <w:tabs>
                <w:tab w:val="center" w:pos="4201"/>
                <w:tab w:val="right" w:leader="dot" w:pos="9298"/>
              </w:tabs>
              <w:autoSpaceDE w:val="0"/>
              <w:autoSpaceDN w:val="0"/>
              <w:adjustRightInd/>
              <w:spacing w:line="240" w:lineRule="auto"/>
              <w:jc w:val="center"/>
              <w:rPr>
                <w:rFonts w:ascii="宋体" w:hAnsi="宋体" w:hint="eastAsia"/>
                <w:kern w:val="0"/>
                <w:sz w:val="18"/>
                <w:szCs w:val="16"/>
              </w:rPr>
            </w:pPr>
            <w:r>
              <w:rPr>
                <w:rFonts w:ascii="宋体" w:hAnsi="宋体"/>
                <w:kern w:val="0"/>
                <w:sz w:val="18"/>
                <w:szCs w:val="16"/>
              </w:rPr>
              <w:t>使用剂量</w:t>
            </w:r>
          </w:p>
        </w:tc>
        <w:tc>
          <w:tcPr>
            <w:tcW w:w="787" w:type="pct"/>
            <w:tcBorders>
              <w:top w:val="single" w:sz="8" w:space="0" w:color="auto"/>
              <w:bottom w:val="single" w:sz="8" w:space="0" w:color="auto"/>
            </w:tcBorders>
            <w:shd w:val="clear" w:color="auto" w:fill="auto"/>
            <w:vAlign w:val="center"/>
          </w:tcPr>
          <w:p w:rsidR="00821456" w:rsidRDefault="00000000">
            <w:pPr>
              <w:tabs>
                <w:tab w:val="center" w:pos="4201"/>
                <w:tab w:val="right" w:leader="dot" w:pos="9298"/>
              </w:tabs>
              <w:autoSpaceDE w:val="0"/>
              <w:autoSpaceDN w:val="0"/>
              <w:adjustRightInd/>
              <w:spacing w:line="240" w:lineRule="auto"/>
              <w:jc w:val="center"/>
              <w:rPr>
                <w:rFonts w:ascii="宋体" w:hAnsi="宋体" w:hint="eastAsia"/>
                <w:kern w:val="0"/>
                <w:sz w:val="18"/>
                <w:szCs w:val="16"/>
              </w:rPr>
            </w:pPr>
            <w:r>
              <w:rPr>
                <w:rFonts w:ascii="宋体" w:hAnsi="宋体"/>
                <w:kern w:val="0"/>
                <w:sz w:val="18"/>
                <w:szCs w:val="16"/>
              </w:rPr>
              <w:t>使用方法</w:t>
            </w:r>
          </w:p>
        </w:tc>
        <w:tc>
          <w:tcPr>
            <w:tcW w:w="640" w:type="pct"/>
            <w:tcBorders>
              <w:top w:val="single" w:sz="8" w:space="0" w:color="auto"/>
              <w:bottom w:val="single" w:sz="8" w:space="0" w:color="auto"/>
            </w:tcBorders>
            <w:shd w:val="clear" w:color="auto" w:fill="auto"/>
            <w:vAlign w:val="center"/>
          </w:tcPr>
          <w:p w:rsidR="00821456" w:rsidRDefault="00000000">
            <w:pPr>
              <w:tabs>
                <w:tab w:val="center" w:pos="4201"/>
                <w:tab w:val="right" w:leader="dot" w:pos="9298"/>
              </w:tabs>
              <w:autoSpaceDE w:val="0"/>
              <w:autoSpaceDN w:val="0"/>
              <w:adjustRightInd/>
              <w:spacing w:line="240" w:lineRule="auto"/>
              <w:jc w:val="center"/>
              <w:rPr>
                <w:rFonts w:ascii="宋体" w:hAnsi="宋体" w:hint="eastAsia"/>
                <w:kern w:val="0"/>
                <w:sz w:val="18"/>
                <w:szCs w:val="16"/>
              </w:rPr>
            </w:pPr>
            <w:r>
              <w:rPr>
                <w:rFonts w:ascii="宋体" w:hAnsi="宋体"/>
                <w:kern w:val="0"/>
                <w:sz w:val="18"/>
                <w:szCs w:val="16"/>
              </w:rPr>
              <w:t>休药期</w:t>
            </w:r>
          </w:p>
        </w:tc>
      </w:tr>
      <w:tr w:rsidR="00821456">
        <w:trPr>
          <w:trHeight w:val="1220"/>
        </w:trPr>
        <w:tc>
          <w:tcPr>
            <w:tcW w:w="603" w:type="pct"/>
            <w:tcBorders>
              <w:top w:val="single" w:sz="8" w:space="0" w:color="auto"/>
            </w:tcBorders>
            <w:shd w:val="clear" w:color="auto" w:fill="auto"/>
            <w:vAlign w:val="center"/>
          </w:tcPr>
          <w:p w:rsidR="00821456" w:rsidRDefault="00000000">
            <w:pPr>
              <w:tabs>
                <w:tab w:val="center" w:pos="4201"/>
                <w:tab w:val="right" w:leader="dot" w:pos="9298"/>
              </w:tabs>
              <w:autoSpaceDE w:val="0"/>
              <w:autoSpaceDN w:val="0"/>
              <w:snapToGrid w:val="0"/>
              <w:spacing w:line="240" w:lineRule="auto"/>
              <w:ind w:firstLineChars="100" w:firstLine="180"/>
              <w:jc w:val="left"/>
              <w:rPr>
                <w:rFonts w:ascii="宋体" w:hAnsi="宋体" w:hint="eastAsia"/>
                <w:kern w:val="0"/>
                <w:sz w:val="18"/>
                <w:szCs w:val="16"/>
              </w:rPr>
            </w:pPr>
            <w:r>
              <w:rPr>
                <w:rFonts w:ascii="宋体" w:hAnsi="宋体"/>
                <w:kern w:val="0"/>
                <w:sz w:val="18"/>
                <w:szCs w:val="16"/>
              </w:rPr>
              <w:t>出血病</w:t>
            </w:r>
          </w:p>
        </w:tc>
        <w:tc>
          <w:tcPr>
            <w:tcW w:w="738" w:type="pct"/>
            <w:tcBorders>
              <w:top w:val="single" w:sz="8" w:space="0" w:color="auto"/>
            </w:tcBorders>
            <w:shd w:val="clear" w:color="auto" w:fill="auto"/>
            <w:vAlign w:val="center"/>
          </w:tcPr>
          <w:p w:rsidR="00821456" w:rsidRDefault="00000000">
            <w:pPr>
              <w:tabs>
                <w:tab w:val="center" w:pos="4201"/>
                <w:tab w:val="right" w:leader="dot" w:pos="9298"/>
              </w:tabs>
              <w:autoSpaceDE w:val="0"/>
              <w:autoSpaceDN w:val="0"/>
              <w:snapToGrid w:val="0"/>
              <w:spacing w:line="240" w:lineRule="auto"/>
              <w:ind w:firstLineChars="100" w:firstLine="180"/>
              <w:rPr>
                <w:rFonts w:ascii="宋体" w:hAnsi="宋体" w:hint="eastAsia"/>
                <w:kern w:val="0"/>
                <w:sz w:val="18"/>
                <w:szCs w:val="16"/>
              </w:rPr>
            </w:pPr>
            <w:r>
              <w:rPr>
                <w:rFonts w:ascii="宋体" w:hAnsi="宋体"/>
                <w:kern w:val="0"/>
                <w:sz w:val="18"/>
                <w:szCs w:val="16"/>
              </w:rPr>
              <w:t>4月或9月</w:t>
            </w:r>
          </w:p>
        </w:tc>
        <w:tc>
          <w:tcPr>
            <w:tcW w:w="1082" w:type="pct"/>
            <w:tcBorders>
              <w:top w:val="single" w:sz="8" w:space="0" w:color="auto"/>
            </w:tcBorders>
            <w:shd w:val="clear" w:color="auto" w:fill="auto"/>
            <w:vAlign w:val="center"/>
          </w:tcPr>
          <w:p w:rsidR="00821456" w:rsidRDefault="00000000">
            <w:pPr>
              <w:tabs>
                <w:tab w:val="center" w:pos="4201"/>
                <w:tab w:val="right" w:leader="dot" w:pos="9298"/>
              </w:tabs>
              <w:autoSpaceDE w:val="0"/>
              <w:autoSpaceDN w:val="0"/>
              <w:snapToGrid w:val="0"/>
              <w:spacing w:line="240" w:lineRule="auto"/>
              <w:rPr>
                <w:rFonts w:ascii="宋体" w:hAnsi="宋体" w:hint="eastAsia"/>
                <w:kern w:val="0"/>
                <w:sz w:val="18"/>
                <w:szCs w:val="16"/>
              </w:rPr>
            </w:pPr>
            <w:r>
              <w:rPr>
                <w:rFonts w:ascii="宋体" w:hAnsi="宋体"/>
                <w:kern w:val="0"/>
                <w:sz w:val="18"/>
                <w:szCs w:val="16"/>
              </w:rPr>
              <w:t>草鱼出血病灭活疫苗</w:t>
            </w:r>
          </w:p>
        </w:tc>
        <w:tc>
          <w:tcPr>
            <w:tcW w:w="1146" w:type="pct"/>
            <w:tcBorders>
              <w:top w:val="single" w:sz="8" w:space="0" w:color="auto"/>
            </w:tcBorders>
            <w:shd w:val="clear" w:color="auto" w:fill="auto"/>
            <w:vAlign w:val="center"/>
          </w:tcPr>
          <w:p w:rsidR="00821456" w:rsidRDefault="00000000">
            <w:pPr>
              <w:tabs>
                <w:tab w:val="center" w:pos="4201"/>
                <w:tab w:val="right" w:leader="dot" w:pos="9298"/>
              </w:tabs>
              <w:autoSpaceDE w:val="0"/>
              <w:autoSpaceDN w:val="0"/>
              <w:snapToGrid w:val="0"/>
              <w:spacing w:line="240" w:lineRule="auto"/>
              <w:rPr>
                <w:rFonts w:ascii="宋体" w:hAnsi="宋体" w:hint="eastAsia"/>
                <w:kern w:val="0"/>
                <w:sz w:val="18"/>
                <w:szCs w:val="16"/>
              </w:rPr>
            </w:pPr>
            <w:r>
              <w:rPr>
                <w:rFonts w:ascii="宋体" w:hAnsi="宋体"/>
                <w:kern w:val="0"/>
                <w:sz w:val="18"/>
                <w:szCs w:val="16"/>
              </w:rPr>
              <w:t>体重12 g</w:t>
            </w:r>
            <w:r>
              <w:rPr>
                <w:rFonts w:ascii="宋体" w:hAnsi="宋体" w:hint="eastAsia"/>
                <w:kern w:val="0"/>
                <w:sz w:val="18"/>
                <w:szCs w:val="16"/>
              </w:rPr>
              <w:t>～</w:t>
            </w:r>
            <w:r>
              <w:rPr>
                <w:rFonts w:ascii="宋体" w:hAnsi="宋体"/>
                <w:kern w:val="0"/>
                <w:sz w:val="18"/>
                <w:szCs w:val="16"/>
              </w:rPr>
              <w:t>250 g每尾注射0.2 mL；体重250 g~750 g，每尾注射0.3 mL</w:t>
            </w:r>
          </w:p>
        </w:tc>
        <w:tc>
          <w:tcPr>
            <w:tcW w:w="787" w:type="pct"/>
            <w:tcBorders>
              <w:top w:val="single" w:sz="8" w:space="0" w:color="auto"/>
            </w:tcBorders>
            <w:shd w:val="clear" w:color="auto" w:fill="auto"/>
            <w:vAlign w:val="center"/>
          </w:tcPr>
          <w:p w:rsidR="00821456" w:rsidRDefault="00000000">
            <w:pPr>
              <w:tabs>
                <w:tab w:val="center" w:pos="4201"/>
                <w:tab w:val="right" w:leader="dot" w:pos="9298"/>
              </w:tabs>
              <w:autoSpaceDE w:val="0"/>
              <w:autoSpaceDN w:val="0"/>
              <w:snapToGrid w:val="0"/>
              <w:spacing w:line="240" w:lineRule="auto"/>
              <w:rPr>
                <w:rFonts w:ascii="宋体" w:hAnsi="宋体" w:hint="eastAsia"/>
                <w:kern w:val="0"/>
                <w:sz w:val="18"/>
                <w:szCs w:val="16"/>
              </w:rPr>
            </w:pPr>
            <w:r>
              <w:rPr>
                <w:rFonts w:ascii="宋体" w:hAnsi="宋体"/>
                <w:kern w:val="0"/>
                <w:sz w:val="18"/>
                <w:szCs w:val="16"/>
              </w:rPr>
              <w:t>腹腔或肌肉注射</w:t>
            </w:r>
          </w:p>
        </w:tc>
        <w:tc>
          <w:tcPr>
            <w:tcW w:w="640" w:type="pct"/>
            <w:tcBorders>
              <w:top w:val="single" w:sz="8" w:space="0" w:color="auto"/>
            </w:tcBorders>
            <w:shd w:val="clear" w:color="auto" w:fill="auto"/>
            <w:vAlign w:val="center"/>
          </w:tcPr>
          <w:p w:rsidR="00821456" w:rsidRDefault="00000000">
            <w:pPr>
              <w:tabs>
                <w:tab w:val="center" w:pos="4201"/>
                <w:tab w:val="right" w:leader="dot" w:pos="9298"/>
              </w:tabs>
              <w:autoSpaceDE w:val="0"/>
              <w:autoSpaceDN w:val="0"/>
              <w:snapToGrid w:val="0"/>
              <w:spacing w:line="240" w:lineRule="auto"/>
              <w:jc w:val="center"/>
              <w:rPr>
                <w:rFonts w:ascii="宋体" w:hAnsi="宋体" w:hint="eastAsia"/>
                <w:kern w:val="0"/>
                <w:sz w:val="18"/>
                <w:szCs w:val="16"/>
              </w:rPr>
            </w:pPr>
            <w:r>
              <w:rPr>
                <w:rFonts w:ascii="宋体" w:hAnsi="宋体" w:hint="eastAsia"/>
                <w:kern w:val="0"/>
                <w:sz w:val="18"/>
                <w:szCs w:val="16"/>
              </w:rPr>
              <w:t xml:space="preserve"> </w:t>
            </w:r>
            <w:r>
              <w:rPr>
                <w:rFonts w:ascii="宋体" w:hAnsi="宋体"/>
                <w:kern w:val="0"/>
                <w:sz w:val="18"/>
                <w:szCs w:val="16"/>
              </w:rPr>
              <w:t>免疫期15个月</w:t>
            </w:r>
          </w:p>
        </w:tc>
      </w:tr>
      <w:tr w:rsidR="00821456">
        <w:trPr>
          <w:trHeight w:val="558"/>
        </w:trPr>
        <w:tc>
          <w:tcPr>
            <w:tcW w:w="603" w:type="pct"/>
            <w:shd w:val="clear" w:color="auto" w:fill="auto"/>
            <w:vAlign w:val="center"/>
          </w:tcPr>
          <w:p w:rsidR="00821456" w:rsidRDefault="00000000">
            <w:pPr>
              <w:tabs>
                <w:tab w:val="center" w:pos="4201"/>
                <w:tab w:val="right" w:leader="dot" w:pos="9298"/>
              </w:tabs>
              <w:autoSpaceDE w:val="0"/>
              <w:autoSpaceDN w:val="0"/>
              <w:snapToGrid w:val="0"/>
              <w:spacing w:line="240" w:lineRule="auto"/>
              <w:ind w:firstLineChars="100" w:firstLine="180"/>
              <w:jc w:val="left"/>
              <w:rPr>
                <w:rFonts w:ascii="宋体" w:hAnsi="宋体" w:hint="eastAsia"/>
                <w:kern w:val="0"/>
                <w:sz w:val="18"/>
                <w:szCs w:val="16"/>
              </w:rPr>
            </w:pPr>
            <w:r>
              <w:rPr>
                <w:rFonts w:ascii="宋体" w:hAnsi="宋体"/>
                <w:kern w:val="0"/>
                <w:sz w:val="18"/>
                <w:szCs w:val="16"/>
              </w:rPr>
              <w:t>肠炎病</w:t>
            </w:r>
          </w:p>
        </w:tc>
        <w:tc>
          <w:tcPr>
            <w:tcW w:w="738" w:type="pct"/>
            <w:shd w:val="clear" w:color="auto" w:fill="auto"/>
            <w:vAlign w:val="center"/>
          </w:tcPr>
          <w:p w:rsidR="00821456" w:rsidRDefault="00000000">
            <w:pPr>
              <w:tabs>
                <w:tab w:val="center" w:pos="4201"/>
                <w:tab w:val="right" w:leader="dot" w:pos="9298"/>
              </w:tabs>
              <w:autoSpaceDE w:val="0"/>
              <w:autoSpaceDN w:val="0"/>
              <w:snapToGrid w:val="0"/>
              <w:spacing w:line="240" w:lineRule="auto"/>
              <w:ind w:firstLineChars="100" w:firstLine="180"/>
              <w:rPr>
                <w:rFonts w:ascii="宋体" w:hAnsi="宋体" w:hint="eastAsia"/>
                <w:kern w:val="0"/>
                <w:sz w:val="18"/>
                <w:szCs w:val="16"/>
              </w:rPr>
            </w:pPr>
            <w:r>
              <w:rPr>
                <w:rFonts w:ascii="宋体" w:hAnsi="宋体"/>
                <w:kern w:val="0"/>
                <w:sz w:val="18"/>
                <w:szCs w:val="16"/>
              </w:rPr>
              <w:t>4月～9月</w:t>
            </w:r>
          </w:p>
        </w:tc>
        <w:tc>
          <w:tcPr>
            <w:tcW w:w="1082" w:type="pct"/>
            <w:shd w:val="clear" w:color="auto" w:fill="auto"/>
            <w:vAlign w:val="center"/>
          </w:tcPr>
          <w:p w:rsidR="00821456" w:rsidRDefault="00000000">
            <w:pPr>
              <w:snapToGrid w:val="0"/>
              <w:spacing w:line="240" w:lineRule="auto"/>
              <w:ind w:firstLineChars="100" w:firstLine="180"/>
              <w:rPr>
                <w:rFonts w:ascii="宋体" w:hAnsi="宋体" w:hint="eastAsia"/>
                <w:sz w:val="18"/>
                <w:szCs w:val="16"/>
              </w:rPr>
            </w:pPr>
            <w:r>
              <w:rPr>
                <w:rFonts w:ascii="宋体" w:hAnsi="宋体"/>
                <w:sz w:val="18"/>
                <w:szCs w:val="16"/>
              </w:rPr>
              <w:t>氟苯尼考粉预混剂(50%)</w:t>
            </w:r>
          </w:p>
        </w:tc>
        <w:tc>
          <w:tcPr>
            <w:tcW w:w="1146" w:type="pct"/>
            <w:shd w:val="clear" w:color="auto" w:fill="auto"/>
            <w:vAlign w:val="center"/>
          </w:tcPr>
          <w:p w:rsidR="00821456" w:rsidRDefault="00000000">
            <w:pPr>
              <w:tabs>
                <w:tab w:val="center" w:pos="4201"/>
                <w:tab w:val="right" w:leader="dot" w:pos="9298"/>
              </w:tabs>
              <w:autoSpaceDE w:val="0"/>
              <w:autoSpaceDN w:val="0"/>
              <w:snapToGrid w:val="0"/>
              <w:spacing w:line="240" w:lineRule="auto"/>
              <w:jc w:val="center"/>
              <w:rPr>
                <w:rFonts w:ascii="宋体" w:hAnsi="宋体" w:hint="eastAsia"/>
                <w:kern w:val="0"/>
                <w:sz w:val="18"/>
                <w:szCs w:val="16"/>
              </w:rPr>
            </w:pPr>
            <w:r>
              <w:rPr>
                <w:rFonts w:ascii="宋体" w:hAnsi="宋体"/>
                <w:kern w:val="0"/>
                <w:sz w:val="18"/>
                <w:szCs w:val="16"/>
              </w:rPr>
              <w:t>10.0 mg/d.kg·bw</w:t>
            </w:r>
          </w:p>
        </w:tc>
        <w:tc>
          <w:tcPr>
            <w:tcW w:w="787" w:type="pct"/>
            <w:shd w:val="clear" w:color="auto" w:fill="auto"/>
            <w:vAlign w:val="center"/>
          </w:tcPr>
          <w:p w:rsidR="00821456" w:rsidRDefault="00000000">
            <w:pPr>
              <w:tabs>
                <w:tab w:val="center" w:pos="4201"/>
                <w:tab w:val="right" w:leader="dot" w:pos="9298"/>
              </w:tabs>
              <w:autoSpaceDE w:val="0"/>
              <w:autoSpaceDN w:val="0"/>
              <w:snapToGrid w:val="0"/>
              <w:spacing w:line="240" w:lineRule="auto"/>
              <w:ind w:firstLineChars="100" w:firstLine="180"/>
              <w:rPr>
                <w:rFonts w:ascii="宋体" w:hAnsi="宋体" w:hint="eastAsia"/>
                <w:kern w:val="0"/>
                <w:sz w:val="18"/>
                <w:szCs w:val="16"/>
              </w:rPr>
            </w:pPr>
            <w:r>
              <w:rPr>
                <w:rFonts w:ascii="宋体" w:hAnsi="宋体"/>
                <w:kern w:val="0"/>
                <w:sz w:val="18"/>
                <w:szCs w:val="16"/>
              </w:rPr>
              <w:t>拌饵投喂连用4 d～6 d</w:t>
            </w:r>
          </w:p>
        </w:tc>
        <w:tc>
          <w:tcPr>
            <w:tcW w:w="640" w:type="pct"/>
            <w:shd w:val="clear" w:color="auto" w:fill="auto"/>
            <w:vAlign w:val="center"/>
          </w:tcPr>
          <w:p w:rsidR="00821456" w:rsidRDefault="00000000">
            <w:pPr>
              <w:snapToGrid w:val="0"/>
              <w:spacing w:line="240" w:lineRule="auto"/>
              <w:ind w:firstLineChars="100" w:firstLine="180"/>
              <w:rPr>
                <w:rFonts w:ascii="宋体" w:hAnsi="宋体" w:hint="eastAsia"/>
                <w:sz w:val="18"/>
                <w:szCs w:val="16"/>
              </w:rPr>
            </w:pPr>
            <w:r>
              <w:rPr>
                <w:rFonts w:ascii="宋体" w:hAnsi="宋体"/>
                <w:sz w:val="18"/>
                <w:szCs w:val="16"/>
              </w:rPr>
              <w:t>375度日</w:t>
            </w:r>
          </w:p>
        </w:tc>
      </w:tr>
      <w:tr w:rsidR="00821456">
        <w:tc>
          <w:tcPr>
            <w:tcW w:w="603" w:type="pct"/>
            <w:shd w:val="clear" w:color="auto" w:fill="auto"/>
            <w:vAlign w:val="center"/>
          </w:tcPr>
          <w:p w:rsidR="00821456" w:rsidRDefault="00000000">
            <w:pPr>
              <w:tabs>
                <w:tab w:val="center" w:pos="4201"/>
                <w:tab w:val="right" w:leader="dot" w:pos="9298"/>
              </w:tabs>
              <w:autoSpaceDE w:val="0"/>
              <w:autoSpaceDN w:val="0"/>
              <w:snapToGrid w:val="0"/>
              <w:spacing w:line="240" w:lineRule="auto"/>
              <w:ind w:firstLineChars="100" w:firstLine="180"/>
              <w:jc w:val="left"/>
              <w:rPr>
                <w:rFonts w:ascii="宋体" w:hAnsi="宋体" w:hint="eastAsia"/>
                <w:kern w:val="0"/>
                <w:sz w:val="18"/>
                <w:szCs w:val="16"/>
              </w:rPr>
            </w:pPr>
            <w:r>
              <w:rPr>
                <w:rFonts w:ascii="宋体" w:hAnsi="宋体"/>
                <w:kern w:val="0"/>
                <w:sz w:val="18"/>
                <w:szCs w:val="16"/>
              </w:rPr>
              <w:t>赤皮病</w:t>
            </w:r>
          </w:p>
        </w:tc>
        <w:tc>
          <w:tcPr>
            <w:tcW w:w="738" w:type="pct"/>
            <w:shd w:val="clear" w:color="auto" w:fill="auto"/>
            <w:vAlign w:val="center"/>
          </w:tcPr>
          <w:p w:rsidR="00821456" w:rsidRDefault="00000000">
            <w:pPr>
              <w:tabs>
                <w:tab w:val="center" w:pos="4201"/>
                <w:tab w:val="right" w:leader="dot" w:pos="9298"/>
              </w:tabs>
              <w:autoSpaceDE w:val="0"/>
              <w:autoSpaceDN w:val="0"/>
              <w:snapToGrid w:val="0"/>
              <w:spacing w:line="240" w:lineRule="auto"/>
              <w:jc w:val="center"/>
              <w:rPr>
                <w:rFonts w:ascii="宋体" w:hAnsi="宋体" w:hint="eastAsia"/>
                <w:kern w:val="0"/>
                <w:sz w:val="18"/>
                <w:szCs w:val="16"/>
              </w:rPr>
            </w:pPr>
            <w:r>
              <w:rPr>
                <w:rFonts w:ascii="宋体" w:hAnsi="宋体" w:hint="eastAsia"/>
                <w:kern w:val="0"/>
                <w:sz w:val="18"/>
                <w:szCs w:val="16"/>
              </w:rPr>
              <w:t xml:space="preserve"> </w:t>
            </w:r>
            <w:r>
              <w:rPr>
                <w:rFonts w:ascii="宋体" w:hAnsi="宋体"/>
                <w:kern w:val="0"/>
                <w:sz w:val="18"/>
                <w:szCs w:val="16"/>
              </w:rPr>
              <w:t>常年可见，尤其放养或捕捞后最易发生。</w:t>
            </w:r>
          </w:p>
        </w:tc>
        <w:tc>
          <w:tcPr>
            <w:tcW w:w="1082" w:type="pct"/>
            <w:shd w:val="clear" w:color="auto" w:fill="auto"/>
            <w:vAlign w:val="center"/>
          </w:tcPr>
          <w:p w:rsidR="00821456" w:rsidRDefault="00000000">
            <w:pPr>
              <w:snapToGrid w:val="0"/>
              <w:spacing w:line="240" w:lineRule="auto"/>
              <w:ind w:firstLineChars="100" w:firstLine="180"/>
              <w:rPr>
                <w:rFonts w:ascii="宋体" w:hAnsi="宋体" w:hint="eastAsia"/>
                <w:sz w:val="18"/>
                <w:szCs w:val="16"/>
              </w:rPr>
            </w:pPr>
            <w:r>
              <w:rPr>
                <w:rFonts w:ascii="宋体" w:hAnsi="宋体"/>
                <w:sz w:val="18"/>
                <w:szCs w:val="16"/>
              </w:rPr>
              <w:t>氟苯尼考粉预混剂(50%)</w:t>
            </w:r>
          </w:p>
        </w:tc>
        <w:tc>
          <w:tcPr>
            <w:tcW w:w="1146" w:type="pct"/>
            <w:shd w:val="clear" w:color="auto" w:fill="auto"/>
            <w:vAlign w:val="center"/>
          </w:tcPr>
          <w:p w:rsidR="00821456" w:rsidRDefault="00000000">
            <w:pPr>
              <w:tabs>
                <w:tab w:val="center" w:pos="4201"/>
                <w:tab w:val="right" w:leader="dot" w:pos="9298"/>
              </w:tabs>
              <w:autoSpaceDE w:val="0"/>
              <w:autoSpaceDN w:val="0"/>
              <w:snapToGrid w:val="0"/>
              <w:spacing w:line="240" w:lineRule="auto"/>
              <w:jc w:val="center"/>
              <w:rPr>
                <w:rFonts w:ascii="宋体" w:hAnsi="宋体" w:hint="eastAsia"/>
                <w:kern w:val="0"/>
                <w:sz w:val="18"/>
                <w:szCs w:val="16"/>
              </w:rPr>
            </w:pPr>
            <w:r>
              <w:rPr>
                <w:rFonts w:ascii="宋体" w:hAnsi="宋体"/>
                <w:kern w:val="0"/>
                <w:sz w:val="18"/>
                <w:szCs w:val="16"/>
              </w:rPr>
              <w:t>10.0 mg/d.kg·bw</w:t>
            </w:r>
          </w:p>
        </w:tc>
        <w:tc>
          <w:tcPr>
            <w:tcW w:w="787" w:type="pct"/>
            <w:shd w:val="clear" w:color="auto" w:fill="auto"/>
            <w:vAlign w:val="center"/>
          </w:tcPr>
          <w:p w:rsidR="00821456" w:rsidRDefault="00000000">
            <w:pPr>
              <w:tabs>
                <w:tab w:val="center" w:pos="4201"/>
                <w:tab w:val="right" w:leader="dot" w:pos="9298"/>
              </w:tabs>
              <w:autoSpaceDE w:val="0"/>
              <w:autoSpaceDN w:val="0"/>
              <w:snapToGrid w:val="0"/>
              <w:spacing w:line="240" w:lineRule="auto"/>
              <w:ind w:firstLineChars="100" w:firstLine="180"/>
              <w:rPr>
                <w:rFonts w:ascii="宋体" w:hAnsi="宋体" w:hint="eastAsia"/>
                <w:kern w:val="0"/>
                <w:sz w:val="18"/>
                <w:szCs w:val="16"/>
              </w:rPr>
            </w:pPr>
            <w:r>
              <w:rPr>
                <w:rFonts w:ascii="宋体" w:hAnsi="宋体"/>
                <w:kern w:val="0"/>
                <w:sz w:val="18"/>
                <w:szCs w:val="16"/>
              </w:rPr>
              <w:t>拌饵投喂连用4 d～6 d</w:t>
            </w:r>
          </w:p>
        </w:tc>
        <w:tc>
          <w:tcPr>
            <w:tcW w:w="640" w:type="pct"/>
            <w:shd w:val="clear" w:color="auto" w:fill="auto"/>
            <w:vAlign w:val="center"/>
          </w:tcPr>
          <w:p w:rsidR="00821456" w:rsidRDefault="00000000">
            <w:pPr>
              <w:tabs>
                <w:tab w:val="center" w:pos="4201"/>
                <w:tab w:val="right" w:leader="dot" w:pos="9298"/>
              </w:tabs>
              <w:autoSpaceDE w:val="0"/>
              <w:autoSpaceDN w:val="0"/>
              <w:snapToGrid w:val="0"/>
              <w:spacing w:line="240" w:lineRule="auto"/>
              <w:ind w:firstLineChars="100" w:firstLine="180"/>
              <w:rPr>
                <w:rFonts w:ascii="宋体" w:hAnsi="宋体" w:hint="eastAsia"/>
                <w:kern w:val="0"/>
                <w:sz w:val="18"/>
                <w:szCs w:val="16"/>
              </w:rPr>
            </w:pPr>
            <w:r>
              <w:rPr>
                <w:rFonts w:ascii="宋体" w:hAnsi="宋体"/>
                <w:kern w:val="0"/>
                <w:sz w:val="18"/>
                <w:szCs w:val="16"/>
              </w:rPr>
              <w:t>375度日</w:t>
            </w:r>
          </w:p>
        </w:tc>
      </w:tr>
      <w:tr w:rsidR="00821456">
        <w:tc>
          <w:tcPr>
            <w:tcW w:w="603" w:type="pct"/>
            <w:shd w:val="clear" w:color="auto" w:fill="auto"/>
            <w:vAlign w:val="center"/>
          </w:tcPr>
          <w:p w:rsidR="00821456" w:rsidRDefault="00000000">
            <w:pPr>
              <w:tabs>
                <w:tab w:val="center" w:pos="4201"/>
                <w:tab w:val="right" w:leader="dot" w:pos="9298"/>
              </w:tabs>
              <w:autoSpaceDE w:val="0"/>
              <w:autoSpaceDN w:val="0"/>
              <w:snapToGrid w:val="0"/>
              <w:spacing w:line="240" w:lineRule="auto"/>
              <w:ind w:firstLineChars="100" w:firstLine="180"/>
              <w:jc w:val="left"/>
              <w:rPr>
                <w:rFonts w:ascii="宋体" w:hAnsi="宋体" w:hint="eastAsia"/>
                <w:kern w:val="0"/>
                <w:sz w:val="18"/>
                <w:szCs w:val="16"/>
              </w:rPr>
            </w:pPr>
            <w:r>
              <w:rPr>
                <w:rFonts w:ascii="宋体" w:hAnsi="宋体"/>
                <w:kern w:val="0"/>
                <w:sz w:val="18"/>
                <w:szCs w:val="16"/>
              </w:rPr>
              <w:t>烂鳃病</w:t>
            </w:r>
          </w:p>
        </w:tc>
        <w:tc>
          <w:tcPr>
            <w:tcW w:w="738" w:type="pct"/>
            <w:shd w:val="clear" w:color="auto" w:fill="auto"/>
            <w:vAlign w:val="center"/>
          </w:tcPr>
          <w:p w:rsidR="00821456" w:rsidRDefault="00000000">
            <w:pPr>
              <w:tabs>
                <w:tab w:val="center" w:pos="4201"/>
                <w:tab w:val="right" w:leader="dot" w:pos="9298"/>
              </w:tabs>
              <w:autoSpaceDE w:val="0"/>
              <w:autoSpaceDN w:val="0"/>
              <w:snapToGrid w:val="0"/>
              <w:spacing w:line="240" w:lineRule="auto"/>
              <w:jc w:val="center"/>
              <w:rPr>
                <w:rFonts w:ascii="宋体" w:hAnsi="宋体" w:hint="eastAsia"/>
                <w:kern w:val="0"/>
                <w:sz w:val="18"/>
                <w:szCs w:val="16"/>
              </w:rPr>
            </w:pPr>
            <w:r>
              <w:rPr>
                <w:rFonts w:ascii="宋体" w:hAnsi="宋体" w:hint="eastAsia"/>
                <w:kern w:val="0"/>
                <w:sz w:val="18"/>
                <w:szCs w:val="16"/>
              </w:rPr>
              <w:t xml:space="preserve"> </w:t>
            </w:r>
            <w:r>
              <w:rPr>
                <w:rFonts w:ascii="宋体" w:hAnsi="宋体"/>
                <w:kern w:val="0"/>
                <w:sz w:val="18"/>
                <w:szCs w:val="16"/>
              </w:rPr>
              <w:t>4月～10月，7月～9月最严重。</w:t>
            </w:r>
          </w:p>
        </w:tc>
        <w:tc>
          <w:tcPr>
            <w:tcW w:w="1082" w:type="pct"/>
            <w:shd w:val="clear" w:color="auto" w:fill="auto"/>
            <w:vAlign w:val="center"/>
          </w:tcPr>
          <w:p w:rsidR="00821456" w:rsidRDefault="00000000">
            <w:pPr>
              <w:snapToGrid w:val="0"/>
              <w:spacing w:line="240" w:lineRule="auto"/>
              <w:ind w:firstLineChars="100" w:firstLine="180"/>
              <w:rPr>
                <w:rFonts w:ascii="宋体" w:hAnsi="宋体" w:hint="eastAsia"/>
                <w:sz w:val="18"/>
                <w:szCs w:val="16"/>
              </w:rPr>
            </w:pPr>
            <w:r>
              <w:rPr>
                <w:rFonts w:ascii="宋体" w:hAnsi="宋体"/>
                <w:sz w:val="18"/>
                <w:szCs w:val="16"/>
              </w:rPr>
              <w:t>氟苯尼考粉预混剂(50%)</w:t>
            </w:r>
          </w:p>
        </w:tc>
        <w:tc>
          <w:tcPr>
            <w:tcW w:w="1146" w:type="pct"/>
            <w:shd w:val="clear" w:color="auto" w:fill="auto"/>
            <w:vAlign w:val="center"/>
          </w:tcPr>
          <w:p w:rsidR="00821456" w:rsidRDefault="00000000">
            <w:pPr>
              <w:tabs>
                <w:tab w:val="center" w:pos="4201"/>
                <w:tab w:val="right" w:leader="dot" w:pos="9298"/>
              </w:tabs>
              <w:autoSpaceDE w:val="0"/>
              <w:autoSpaceDN w:val="0"/>
              <w:snapToGrid w:val="0"/>
              <w:spacing w:line="240" w:lineRule="auto"/>
              <w:jc w:val="center"/>
              <w:rPr>
                <w:rFonts w:ascii="宋体" w:hAnsi="宋体" w:hint="eastAsia"/>
                <w:kern w:val="0"/>
                <w:sz w:val="18"/>
                <w:szCs w:val="16"/>
              </w:rPr>
            </w:pPr>
            <w:r>
              <w:rPr>
                <w:rFonts w:ascii="宋体" w:hAnsi="宋体"/>
                <w:kern w:val="0"/>
                <w:sz w:val="18"/>
                <w:szCs w:val="16"/>
              </w:rPr>
              <w:t>10.0 mg/d.kg·bw</w:t>
            </w:r>
          </w:p>
        </w:tc>
        <w:tc>
          <w:tcPr>
            <w:tcW w:w="787" w:type="pct"/>
            <w:shd w:val="clear" w:color="auto" w:fill="auto"/>
            <w:vAlign w:val="center"/>
          </w:tcPr>
          <w:p w:rsidR="00821456" w:rsidRDefault="00000000">
            <w:pPr>
              <w:tabs>
                <w:tab w:val="center" w:pos="4201"/>
                <w:tab w:val="right" w:leader="dot" w:pos="9298"/>
              </w:tabs>
              <w:autoSpaceDE w:val="0"/>
              <w:autoSpaceDN w:val="0"/>
              <w:snapToGrid w:val="0"/>
              <w:spacing w:line="240" w:lineRule="auto"/>
              <w:ind w:firstLineChars="100" w:firstLine="180"/>
              <w:rPr>
                <w:rFonts w:ascii="宋体" w:hAnsi="宋体" w:hint="eastAsia"/>
                <w:kern w:val="0"/>
                <w:sz w:val="18"/>
                <w:szCs w:val="16"/>
              </w:rPr>
            </w:pPr>
            <w:r>
              <w:rPr>
                <w:rFonts w:ascii="宋体" w:hAnsi="宋体"/>
                <w:kern w:val="0"/>
                <w:sz w:val="18"/>
                <w:szCs w:val="16"/>
              </w:rPr>
              <w:t>拌饵投喂连用4 d～6 d</w:t>
            </w:r>
          </w:p>
        </w:tc>
        <w:tc>
          <w:tcPr>
            <w:tcW w:w="640" w:type="pct"/>
            <w:shd w:val="clear" w:color="auto" w:fill="auto"/>
            <w:vAlign w:val="center"/>
          </w:tcPr>
          <w:p w:rsidR="00821456" w:rsidRDefault="00000000">
            <w:pPr>
              <w:tabs>
                <w:tab w:val="center" w:pos="4201"/>
                <w:tab w:val="right" w:leader="dot" w:pos="9298"/>
              </w:tabs>
              <w:autoSpaceDE w:val="0"/>
              <w:autoSpaceDN w:val="0"/>
              <w:snapToGrid w:val="0"/>
              <w:spacing w:line="240" w:lineRule="auto"/>
              <w:ind w:firstLineChars="100" w:firstLine="180"/>
              <w:rPr>
                <w:rFonts w:ascii="宋体" w:hAnsi="宋体" w:hint="eastAsia"/>
                <w:kern w:val="0"/>
                <w:sz w:val="18"/>
                <w:szCs w:val="16"/>
              </w:rPr>
            </w:pPr>
            <w:r>
              <w:rPr>
                <w:rFonts w:ascii="宋体" w:hAnsi="宋体"/>
                <w:kern w:val="0"/>
                <w:sz w:val="18"/>
                <w:szCs w:val="16"/>
              </w:rPr>
              <w:t>375度日</w:t>
            </w:r>
          </w:p>
        </w:tc>
      </w:tr>
      <w:tr w:rsidR="00821456">
        <w:tc>
          <w:tcPr>
            <w:tcW w:w="603" w:type="pct"/>
            <w:tcBorders>
              <w:bottom w:val="single" w:sz="8" w:space="0" w:color="auto"/>
            </w:tcBorders>
            <w:shd w:val="clear" w:color="auto" w:fill="auto"/>
            <w:vAlign w:val="center"/>
          </w:tcPr>
          <w:p w:rsidR="00821456" w:rsidRDefault="00000000">
            <w:pPr>
              <w:tabs>
                <w:tab w:val="center" w:pos="4201"/>
                <w:tab w:val="right" w:leader="dot" w:pos="9298"/>
              </w:tabs>
              <w:autoSpaceDE w:val="0"/>
              <w:autoSpaceDN w:val="0"/>
              <w:snapToGrid w:val="0"/>
              <w:spacing w:line="240" w:lineRule="auto"/>
              <w:ind w:firstLineChars="100" w:firstLine="180"/>
              <w:jc w:val="left"/>
              <w:rPr>
                <w:rFonts w:ascii="宋体" w:hAnsi="宋体" w:hint="eastAsia"/>
                <w:kern w:val="0"/>
                <w:sz w:val="18"/>
                <w:szCs w:val="16"/>
              </w:rPr>
            </w:pPr>
            <w:r>
              <w:rPr>
                <w:rFonts w:ascii="宋体" w:hAnsi="宋体"/>
                <w:kern w:val="0"/>
                <w:sz w:val="18"/>
                <w:szCs w:val="16"/>
              </w:rPr>
              <w:t>小瓜虫病</w:t>
            </w:r>
          </w:p>
        </w:tc>
        <w:tc>
          <w:tcPr>
            <w:tcW w:w="738" w:type="pct"/>
            <w:tcBorders>
              <w:bottom w:val="single" w:sz="8" w:space="0" w:color="auto"/>
            </w:tcBorders>
            <w:shd w:val="clear" w:color="auto" w:fill="auto"/>
            <w:vAlign w:val="center"/>
          </w:tcPr>
          <w:p w:rsidR="00821456" w:rsidRDefault="00000000">
            <w:pPr>
              <w:tabs>
                <w:tab w:val="center" w:pos="4201"/>
                <w:tab w:val="right" w:leader="dot" w:pos="9298"/>
              </w:tabs>
              <w:autoSpaceDE w:val="0"/>
              <w:autoSpaceDN w:val="0"/>
              <w:snapToGrid w:val="0"/>
              <w:spacing w:line="240" w:lineRule="auto"/>
              <w:jc w:val="center"/>
              <w:rPr>
                <w:rFonts w:ascii="宋体" w:hAnsi="宋体" w:hint="eastAsia"/>
                <w:kern w:val="0"/>
                <w:sz w:val="18"/>
                <w:szCs w:val="16"/>
              </w:rPr>
            </w:pPr>
            <w:r>
              <w:rPr>
                <w:rFonts w:ascii="宋体" w:hAnsi="宋体" w:hint="eastAsia"/>
                <w:kern w:val="0"/>
                <w:sz w:val="18"/>
                <w:szCs w:val="16"/>
              </w:rPr>
              <w:t xml:space="preserve"> </w:t>
            </w:r>
            <w:r>
              <w:rPr>
                <w:rFonts w:ascii="宋体" w:hAnsi="宋体"/>
                <w:kern w:val="0"/>
                <w:sz w:val="18"/>
                <w:szCs w:val="16"/>
              </w:rPr>
              <w:t>初冬春末，水温15℃～25℃</w:t>
            </w:r>
          </w:p>
        </w:tc>
        <w:tc>
          <w:tcPr>
            <w:tcW w:w="1082" w:type="pct"/>
            <w:tcBorders>
              <w:bottom w:val="single" w:sz="8" w:space="0" w:color="auto"/>
            </w:tcBorders>
            <w:shd w:val="clear" w:color="auto" w:fill="auto"/>
            <w:vAlign w:val="center"/>
          </w:tcPr>
          <w:p w:rsidR="00821456" w:rsidRDefault="00000000">
            <w:pPr>
              <w:snapToGrid w:val="0"/>
              <w:spacing w:line="240" w:lineRule="auto"/>
              <w:ind w:firstLineChars="100" w:firstLine="180"/>
              <w:rPr>
                <w:rFonts w:ascii="宋体" w:hAnsi="宋体" w:hint="eastAsia"/>
                <w:sz w:val="18"/>
                <w:szCs w:val="16"/>
              </w:rPr>
            </w:pPr>
            <w:r>
              <w:rPr>
                <w:rFonts w:ascii="宋体" w:hAnsi="宋体"/>
                <w:sz w:val="18"/>
                <w:szCs w:val="16"/>
              </w:rPr>
              <w:t>海水晶（有效成分：NaCl、MgCl</w:t>
            </w:r>
            <w:r>
              <w:rPr>
                <w:rFonts w:ascii="宋体" w:hAnsi="宋体"/>
                <w:sz w:val="18"/>
                <w:szCs w:val="16"/>
                <w:vertAlign w:val="subscript"/>
              </w:rPr>
              <w:t>2</w:t>
            </w:r>
            <w:r>
              <w:rPr>
                <w:rFonts w:ascii="宋体" w:hAnsi="宋体"/>
                <w:sz w:val="18"/>
                <w:szCs w:val="16"/>
              </w:rPr>
              <w:t>、Na</w:t>
            </w:r>
            <w:r>
              <w:rPr>
                <w:rFonts w:ascii="宋体" w:hAnsi="宋体"/>
                <w:sz w:val="18"/>
                <w:szCs w:val="16"/>
                <w:vertAlign w:val="subscript"/>
              </w:rPr>
              <w:t>2</w:t>
            </w:r>
            <w:r>
              <w:rPr>
                <w:rFonts w:ascii="宋体" w:hAnsi="宋体"/>
                <w:sz w:val="18"/>
                <w:szCs w:val="16"/>
              </w:rPr>
              <w:t>SO</w:t>
            </w:r>
            <w:r>
              <w:rPr>
                <w:rFonts w:ascii="宋体" w:hAnsi="宋体"/>
                <w:sz w:val="18"/>
                <w:szCs w:val="16"/>
                <w:vertAlign w:val="subscript"/>
              </w:rPr>
              <w:t>4</w:t>
            </w:r>
            <w:r>
              <w:rPr>
                <w:rFonts w:ascii="宋体" w:hAnsi="宋体"/>
                <w:sz w:val="18"/>
                <w:szCs w:val="16"/>
              </w:rPr>
              <w:t>、CaCl</w:t>
            </w:r>
            <w:r>
              <w:rPr>
                <w:rFonts w:ascii="宋体" w:hAnsi="宋体"/>
                <w:sz w:val="18"/>
                <w:szCs w:val="16"/>
                <w:vertAlign w:val="subscript"/>
              </w:rPr>
              <w:t>2</w:t>
            </w:r>
            <w:r>
              <w:rPr>
                <w:rFonts w:ascii="宋体" w:hAnsi="宋体"/>
                <w:sz w:val="18"/>
                <w:szCs w:val="16"/>
              </w:rPr>
              <w:t>、KCl和NaHCO</w:t>
            </w:r>
            <w:r>
              <w:rPr>
                <w:rFonts w:ascii="宋体" w:hAnsi="宋体"/>
                <w:sz w:val="18"/>
                <w:szCs w:val="16"/>
                <w:vertAlign w:val="subscript"/>
              </w:rPr>
              <w:t>3</w:t>
            </w:r>
            <w:r>
              <w:rPr>
                <w:rFonts w:ascii="宋体" w:hAnsi="宋体"/>
                <w:sz w:val="18"/>
                <w:szCs w:val="16"/>
              </w:rPr>
              <w:t>）</w:t>
            </w:r>
          </w:p>
        </w:tc>
        <w:tc>
          <w:tcPr>
            <w:tcW w:w="1146" w:type="pct"/>
            <w:tcBorders>
              <w:bottom w:val="single" w:sz="8" w:space="0" w:color="auto"/>
            </w:tcBorders>
            <w:shd w:val="clear" w:color="auto" w:fill="auto"/>
            <w:vAlign w:val="center"/>
          </w:tcPr>
          <w:p w:rsidR="00821456" w:rsidRDefault="00000000">
            <w:pPr>
              <w:snapToGrid w:val="0"/>
              <w:spacing w:line="240" w:lineRule="auto"/>
              <w:jc w:val="center"/>
              <w:rPr>
                <w:rFonts w:ascii="宋体" w:hAnsi="宋体" w:hint="eastAsia"/>
                <w:sz w:val="18"/>
                <w:szCs w:val="16"/>
              </w:rPr>
            </w:pPr>
            <w:r>
              <w:rPr>
                <w:rFonts w:ascii="宋体" w:hAnsi="宋体"/>
                <w:sz w:val="18"/>
                <w:szCs w:val="16"/>
              </w:rPr>
              <w:t>6</w:t>
            </w:r>
            <w:r>
              <w:rPr>
                <w:rFonts w:ascii="宋体" w:hAnsi="宋体"/>
                <w:sz w:val="18"/>
                <w:szCs w:val="24"/>
              </w:rPr>
              <w:t xml:space="preserve"> </w:t>
            </w:r>
            <w:r>
              <w:rPr>
                <w:rFonts w:ascii="宋体" w:hAnsi="宋体"/>
                <w:sz w:val="18"/>
                <w:szCs w:val="16"/>
              </w:rPr>
              <w:t>mg</w:t>
            </w:r>
            <w:r>
              <w:rPr>
                <w:rFonts w:ascii="宋体" w:hAnsi="宋体"/>
                <w:kern w:val="0"/>
                <w:sz w:val="18"/>
                <w:szCs w:val="16"/>
              </w:rPr>
              <w:t>～</w:t>
            </w:r>
            <w:r>
              <w:rPr>
                <w:rFonts w:ascii="宋体" w:hAnsi="宋体"/>
                <w:sz w:val="18"/>
                <w:szCs w:val="16"/>
              </w:rPr>
              <w:t>7 mg/L</w:t>
            </w:r>
          </w:p>
          <w:p w:rsidR="00821456" w:rsidRDefault="00000000">
            <w:pPr>
              <w:snapToGrid w:val="0"/>
              <w:spacing w:line="240" w:lineRule="auto"/>
              <w:jc w:val="center"/>
              <w:rPr>
                <w:rFonts w:ascii="宋体" w:hAnsi="宋体" w:hint="eastAsia"/>
                <w:sz w:val="18"/>
                <w:szCs w:val="16"/>
              </w:rPr>
            </w:pPr>
            <w:r>
              <w:rPr>
                <w:rFonts w:ascii="宋体" w:hAnsi="宋体"/>
                <w:sz w:val="18"/>
                <w:szCs w:val="16"/>
              </w:rPr>
              <w:t>（连续5 d~7 d）</w:t>
            </w:r>
          </w:p>
        </w:tc>
        <w:tc>
          <w:tcPr>
            <w:tcW w:w="787" w:type="pct"/>
            <w:tcBorders>
              <w:bottom w:val="single" w:sz="8" w:space="0" w:color="auto"/>
            </w:tcBorders>
            <w:shd w:val="clear" w:color="auto" w:fill="auto"/>
            <w:vAlign w:val="center"/>
          </w:tcPr>
          <w:p w:rsidR="00821456" w:rsidRDefault="00000000">
            <w:pPr>
              <w:snapToGrid w:val="0"/>
              <w:spacing w:line="240" w:lineRule="auto"/>
              <w:ind w:firstLineChars="100" w:firstLine="180"/>
              <w:rPr>
                <w:rFonts w:ascii="宋体" w:hAnsi="宋体" w:hint="eastAsia"/>
                <w:sz w:val="18"/>
                <w:szCs w:val="16"/>
              </w:rPr>
            </w:pPr>
            <w:r>
              <w:rPr>
                <w:rFonts w:ascii="宋体" w:hAnsi="宋体"/>
                <w:sz w:val="18"/>
                <w:szCs w:val="16"/>
              </w:rPr>
              <w:t>浸浴</w:t>
            </w:r>
          </w:p>
        </w:tc>
        <w:tc>
          <w:tcPr>
            <w:tcW w:w="640" w:type="pct"/>
            <w:tcBorders>
              <w:bottom w:val="single" w:sz="8" w:space="0" w:color="auto"/>
            </w:tcBorders>
            <w:shd w:val="clear" w:color="auto" w:fill="auto"/>
            <w:vAlign w:val="center"/>
          </w:tcPr>
          <w:p w:rsidR="00821456" w:rsidRDefault="00000000">
            <w:pPr>
              <w:tabs>
                <w:tab w:val="center" w:pos="4201"/>
                <w:tab w:val="right" w:leader="dot" w:pos="9298"/>
              </w:tabs>
              <w:autoSpaceDE w:val="0"/>
              <w:autoSpaceDN w:val="0"/>
              <w:snapToGrid w:val="0"/>
              <w:spacing w:line="240" w:lineRule="auto"/>
              <w:jc w:val="center"/>
              <w:rPr>
                <w:rFonts w:ascii="宋体" w:hAnsi="宋体" w:hint="eastAsia"/>
                <w:kern w:val="0"/>
                <w:sz w:val="18"/>
                <w:szCs w:val="16"/>
              </w:rPr>
            </w:pPr>
            <w:r>
              <w:rPr>
                <w:rFonts w:ascii="宋体" w:hAnsi="宋体"/>
                <w:kern w:val="0"/>
                <w:sz w:val="18"/>
                <w:szCs w:val="16"/>
              </w:rPr>
              <w:t>/</w:t>
            </w:r>
          </w:p>
        </w:tc>
      </w:tr>
    </w:tbl>
    <w:bookmarkEnd w:id="45"/>
    <w:p w:rsidR="00821456" w:rsidRDefault="00000000">
      <w:pPr>
        <w:pStyle w:val="afffffb"/>
        <w:ind w:firstLineChars="0" w:firstLine="0"/>
        <w:jc w:val="center"/>
      </w:pPr>
      <w:r>
        <w:rPr>
          <w:noProof/>
        </w:rPr>
        <mc:AlternateContent>
          <mc:Choice Requires="wps">
            <w:drawing>
              <wp:anchor distT="0" distB="0" distL="114300" distR="114300" simplePos="0" relativeHeight="251661312" behindDoc="0" locked="0" layoutInCell="1" allowOverlap="1">
                <wp:simplePos x="0" y="0"/>
                <wp:positionH relativeFrom="column">
                  <wp:posOffset>2289810</wp:posOffset>
                </wp:positionH>
                <wp:positionV relativeFrom="paragraph">
                  <wp:posOffset>449580</wp:posOffset>
                </wp:positionV>
                <wp:extent cx="1419225" cy="635"/>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1419225"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flip:y;margin-left:180.3pt;margin-top:35.4pt;height:0.05pt;width:111.75pt;z-index:251661312;mso-width-relative:page;mso-height-relative:page;" filled="f" stroked="t" coordsize="21600,21600" o:gfxdata="UEsDBAoAAAAAAIdO4kAAAAAAAAAAAAAAAAAEAAAAZHJzL1BLAwQUAAAACACHTuJAOeNu0NcAAAAJ&#10;AQAADwAAAGRycy9kb3ducmV2LnhtbE2PwU7DMAyG70i8Q2QkbizpBmUrTSeEgAsSEqNwThvTViRO&#10;1WTdeHu8Exxtf/r9/eX26J2YcYpDIA3ZQoFAaoMdqNNQvz9drUHEZMgaFwg1/GCEbXV+VprChgO9&#10;4bxLneAQioXR0Kc0FlLGtkdv4iKMSHz7CpM3icepk3YyBw73Ti6VyqU3A/GH3oz40GP7vdt7Dfef&#10;L4+r17nxwdlNV39YX6vnpdaXF5m6A5HwmP5gOOmzOlTs1IQ92SichlWuckY13CquwMDN+joD0ZwW&#10;G5BVKf83qH4BUEsDBBQAAAAIAIdO4kDJqp8C/AEAAPADAAAOAAAAZHJzL2Uyb0RvYy54bWytU7uO&#10;EzEU7ZH4B8s9mWQgK3aUyRYblgZBJGB7x48ZS37J18kkP8EPINFBRUnP37B8BteebIClSYEL69r3&#10;+Pie4+vF1d4aspMRtHctnU2mlEjHvdCua+n7dzdPnlMCiTnBjHeypQcJ9Gr5+NFiCI2sfe+NkJEg&#10;iYNmCC3tUwpNVQHvpWUw8UE6TCofLUu4jF0lIhuQ3Zqqnk4vqsFHEaLnEgB3V2OSHhnjOYReKc3l&#10;yvOtlS6NrFEallAS9DoAXZZqlZI8vVEKZCKmpag0lRkvwXiT52q5YE0XWeg1P5bAzinhgSbLtMNL&#10;T1QrlhjZRv0PldU8evAqTbi31SikOIIqZtMH3rztWZBFC1oN4WQ6/D9a/nq3jkSLltaUOGbxwe8+&#10;fvvx4fPP759wvvv6hdTZpCFAg9hrt47HFYR1zIr3KlqijA632E3FA1RF9sXiw8liuU+E4+bs2eyy&#10;rueUcMxdPJ1n7mokyWQhQnopvSU5aKnRLutnDdu9gjRC7yF52zgytPRyXggZNqPCJkBuG1AQuK6c&#10;BW+0uNHG5BMQu821iWTHckOUcSzhL1i+ZMWgH3EllWGs6SUTL5wg6RDQKoc/hOYSrBSUGIkfKkcF&#10;mZg25yBRvXFoQnZ49DRHGy8O+DDbEHXXoxOzUmXOYCMUy45Nmzvtz3Vh+v1Rl7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eNu0NcAAAAJAQAADwAAAAAAAAABACAAAAAiAAAAZHJzL2Rvd25yZXYu&#10;eG1sUEsBAhQAFAAAAAgAh07iQMmqnwL8AQAA8AMAAA4AAAAAAAAAAQAgAAAAJgEAAGRycy9lMm9E&#10;b2MueG1sUEsFBgAAAAAGAAYAWQEAAJQFAAAAAA==&#10;">
                <v:fill on="f" focussize="0,0"/>
                <v:stroke color="#000000" joinstyle="round"/>
                <v:imagedata o:title=""/>
                <o:lock v:ext="edit" aspectratio="f"/>
              </v:line>
            </w:pict>
          </mc:Fallback>
        </mc:AlternateContent>
      </w:r>
    </w:p>
    <w:sectPr w:rsidR="00821456">
      <w:headerReference w:type="even" r:id="rId19"/>
      <w:headerReference w:type="default" r:id="rId20"/>
      <w:footerReference w:type="even" r:id="rId21"/>
      <w:footerReference w:type="default" r:id="rId22"/>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844BD" w:rsidRDefault="00D844BD">
      <w:pPr>
        <w:spacing w:line="240" w:lineRule="auto"/>
      </w:pPr>
      <w:r>
        <w:separator/>
      </w:r>
    </w:p>
  </w:endnote>
  <w:endnote w:type="continuationSeparator" w:id="0">
    <w:p w:rsidR="00D844BD" w:rsidRDefault="00D844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21456" w:rsidRDefault="00000000">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21456" w:rsidRDefault="00821456">
    <w:pPr>
      <w:pStyle w:val="afff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21456" w:rsidRDefault="00821456">
    <w:pPr>
      <w:pStyle w:val="affff4"/>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21456" w:rsidRDefault="00000000">
    <w:pPr>
      <w:pStyle w:val="afffff7"/>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21456" w:rsidRDefault="00000000">
    <w:pPr>
      <w:pStyle w:val="afffff8"/>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21456" w:rsidRDefault="00000000">
    <w:pPr>
      <w:pStyle w:val="afffff7"/>
    </w:pPr>
    <w:r>
      <w:fldChar w:fldCharType="begin"/>
    </w:r>
    <w:r>
      <w:instrText xml:space="preserve"> PAGE   \* MERGEFORMAT \* MERGEFORMAT </w:instrText>
    </w:r>
    <w:r>
      <w:fldChar w:fldCharType="separate"/>
    </w:r>
    <w: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21456" w:rsidRDefault="00000000">
    <w:pPr>
      <w:pStyle w:val="afffff8"/>
    </w:pPr>
    <w:r>
      <w:fldChar w:fldCharType="begin"/>
    </w:r>
    <w:r>
      <w:instrText>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844BD" w:rsidRDefault="00D844BD">
      <w:pPr>
        <w:spacing w:line="240" w:lineRule="auto"/>
      </w:pPr>
      <w:r>
        <w:separator/>
      </w:r>
    </w:p>
  </w:footnote>
  <w:footnote w:type="continuationSeparator" w:id="0">
    <w:p w:rsidR="00D844BD" w:rsidRDefault="00D844B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21456" w:rsidRDefault="00821456">
    <w:pPr>
      <w:pStyle w:val="afff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21456" w:rsidRDefault="00000000">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21456" w:rsidRDefault="00821456">
    <w:pPr>
      <w:pStyle w:val="affff6"/>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21456" w:rsidRDefault="00000000">
    <w:pPr>
      <w:pStyle w:val="affffff1"/>
      <w:rPr>
        <w:rFonts w:hint="eastAsia"/>
      </w:rPr>
    </w:pPr>
    <w:r>
      <w:fldChar w:fldCharType="begin"/>
    </w:r>
    <w:r>
      <w:instrText xml:space="preserve"> STYLEREF  标准文件_文件编号 \* MERGEFORMAT </w:instrText>
    </w:r>
    <w:r>
      <w:fldChar w:fldCharType="separate"/>
    </w:r>
    <w:r>
      <w:t>DB3207/T XXXX</w:t>
    </w:r>
    <w:r>
      <w:t>—</w:t>
    </w:r>
    <w:r>
      <w:t>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21456" w:rsidRDefault="00000000">
    <w:pPr>
      <w:pStyle w:val="affffff0"/>
      <w:rPr>
        <w:rFonts w:hint="eastAsia"/>
      </w:rPr>
    </w:pPr>
    <w:r>
      <w:fldChar w:fldCharType="begin"/>
    </w:r>
    <w:r>
      <w:instrText xml:space="preserve"> STYLEREF  标准文件_文件编号  \* MERGEFORMAT </w:instrText>
    </w:r>
    <w:r>
      <w:fldChar w:fldCharType="separate"/>
    </w:r>
    <w:r w:rsidR="005E274D">
      <w:rPr>
        <w:rFonts w:hint="eastAsia"/>
        <w:noProof/>
      </w:rPr>
      <w:t>DB3207/T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21456" w:rsidRDefault="00000000">
    <w:pPr>
      <w:pStyle w:val="affffff1"/>
      <w:rPr>
        <w:rFonts w:hint="eastAsia"/>
      </w:rPr>
    </w:pPr>
    <w:r>
      <w:fldChar w:fldCharType="begin"/>
    </w:r>
    <w:r>
      <w:instrText xml:space="preserve"> STYLEREF  标准文件_文件编号 \* MERGEFORMAT </w:instrText>
    </w:r>
    <w:r>
      <w:fldChar w:fldCharType="separate"/>
    </w:r>
    <w:r w:rsidR="005E274D">
      <w:rPr>
        <w:rFonts w:hint="eastAsia"/>
        <w:noProof/>
      </w:rPr>
      <w:t>DB3207/T XXXX—XXXX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21456" w:rsidRDefault="00000000">
    <w:pPr>
      <w:pStyle w:val="affffff0"/>
      <w:rPr>
        <w:rFonts w:hint="eastAsia"/>
      </w:rPr>
    </w:pPr>
    <w:r>
      <w:fldChar w:fldCharType="begin"/>
    </w:r>
    <w:r>
      <w:instrText xml:space="preserve"> STYLEREF  标准文件_文件编号  \* MERGEFORMAT </w:instrText>
    </w:r>
    <w:r>
      <w:fldChar w:fldCharType="separate"/>
    </w:r>
    <w:r w:rsidR="005E274D">
      <w:rPr>
        <w:rFonts w:hint="eastAsia"/>
        <w:noProof/>
      </w:rPr>
      <w:t>DB3207/T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710" w:firstLine="0"/>
      </w:pPr>
      <w:rPr>
        <w:rFonts w:ascii="黑体" w:eastAsia="黑体" w:hAnsi="Times New Roman" w:hint="eastAsia"/>
        <w:b w:val="0"/>
        <w:i w:val="0"/>
        <w:sz w:val="21"/>
        <w:szCs w:val="21"/>
      </w:rPr>
    </w:lvl>
    <w:lvl w:ilvl="1">
      <w:start w:val="1"/>
      <w:numFmt w:val="decimal"/>
      <w:pStyle w:val="af3"/>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4"/>
      <w:suff w:val="nothing"/>
      <w:lvlText w:val="%1.%2.%3　"/>
      <w:lvlJc w:val="left"/>
      <w:pPr>
        <w:ind w:left="568"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2411"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lang w:val="en-US"/>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themeColor="text1"/>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520193798">
    <w:abstractNumId w:val="0"/>
  </w:num>
  <w:num w:numId="2" w16cid:durableId="1079910438">
    <w:abstractNumId w:val="28"/>
  </w:num>
  <w:num w:numId="3" w16cid:durableId="50662024">
    <w:abstractNumId w:val="5"/>
  </w:num>
  <w:num w:numId="4" w16cid:durableId="1330138139">
    <w:abstractNumId w:val="24"/>
  </w:num>
  <w:num w:numId="5" w16cid:durableId="638733270">
    <w:abstractNumId w:val="19"/>
  </w:num>
  <w:num w:numId="6" w16cid:durableId="975331588">
    <w:abstractNumId w:val="14"/>
  </w:num>
  <w:num w:numId="7" w16cid:durableId="953636487">
    <w:abstractNumId w:val="8"/>
  </w:num>
  <w:num w:numId="8" w16cid:durableId="7485111">
    <w:abstractNumId w:val="3"/>
  </w:num>
  <w:num w:numId="9" w16cid:durableId="1499731074">
    <w:abstractNumId w:val="9"/>
  </w:num>
  <w:num w:numId="10" w16cid:durableId="103422625">
    <w:abstractNumId w:val="17"/>
  </w:num>
  <w:num w:numId="11" w16cid:durableId="1567642736">
    <w:abstractNumId w:val="26"/>
  </w:num>
  <w:num w:numId="12" w16cid:durableId="1770735983">
    <w:abstractNumId w:val="12"/>
  </w:num>
  <w:num w:numId="13" w16cid:durableId="1551722434">
    <w:abstractNumId w:val="13"/>
  </w:num>
  <w:num w:numId="14" w16cid:durableId="1379666412">
    <w:abstractNumId w:val="7"/>
  </w:num>
  <w:num w:numId="15" w16cid:durableId="646010519">
    <w:abstractNumId w:val="20"/>
  </w:num>
  <w:num w:numId="16" w16cid:durableId="39869104">
    <w:abstractNumId w:val="22"/>
  </w:num>
  <w:num w:numId="17" w16cid:durableId="1490053198">
    <w:abstractNumId w:val="18"/>
  </w:num>
  <w:num w:numId="18" w16cid:durableId="1046218775">
    <w:abstractNumId w:val="30"/>
  </w:num>
  <w:num w:numId="19" w16cid:durableId="717319180">
    <w:abstractNumId w:val="16"/>
  </w:num>
  <w:num w:numId="20" w16cid:durableId="1628588667">
    <w:abstractNumId w:val="1"/>
  </w:num>
  <w:num w:numId="21" w16cid:durableId="811211487">
    <w:abstractNumId w:val="11"/>
  </w:num>
  <w:num w:numId="22" w16cid:durableId="997731908">
    <w:abstractNumId w:val="31"/>
  </w:num>
  <w:num w:numId="23" w16cid:durableId="142742542">
    <w:abstractNumId w:val="21"/>
  </w:num>
  <w:num w:numId="24" w16cid:durableId="1580214715">
    <w:abstractNumId w:val="6"/>
  </w:num>
  <w:num w:numId="25" w16cid:durableId="347491012">
    <w:abstractNumId w:val="27"/>
  </w:num>
  <w:num w:numId="26" w16cid:durableId="1609048989">
    <w:abstractNumId w:val="29"/>
  </w:num>
  <w:num w:numId="27" w16cid:durableId="1108549324">
    <w:abstractNumId w:val="2"/>
  </w:num>
  <w:num w:numId="28" w16cid:durableId="1246110779">
    <w:abstractNumId w:val="4"/>
  </w:num>
  <w:num w:numId="29" w16cid:durableId="112094705">
    <w:abstractNumId w:val="15"/>
  </w:num>
  <w:num w:numId="30" w16cid:durableId="1259219610">
    <w:abstractNumId w:val="25"/>
  </w:num>
  <w:num w:numId="31" w16cid:durableId="699471914">
    <w:abstractNumId w:val="23"/>
  </w:num>
  <w:num w:numId="32" w16cid:durableId="14809196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documentProtection w:edit="forms" w:enforcement="1" w:cryptProviderType="rsaAES" w:cryptAlgorithmClass="hash" w:cryptAlgorithmType="typeAny" w:cryptAlgorithmSid="14" w:cryptSpinCount="100000" w:hash="Z34FS5lycBuvsiRiLdKDUnTl8+sVdup/KpMF+0j3rgxGfxMzd+cIZuqZ/QOT1JiXTtfUlbl8Oq9634fsywNAkA==" w:salt="QmPporpMtQlwMXQWuT4sE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718E"/>
    <w:rsid w:val="0000040A"/>
    <w:rsid w:val="00000A94"/>
    <w:rsid w:val="00001972"/>
    <w:rsid w:val="00001A33"/>
    <w:rsid w:val="00001D9A"/>
    <w:rsid w:val="00007B3A"/>
    <w:rsid w:val="000107E0"/>
    <w:rsid w:val="00011FDE"/>
    <w:rsid w:val="00012FFD"/>
    <w:rsid w:val="000131A8"/>
    <w:rsid w:val="00014162"/>
    <w:rsid w:val="00014340"/>
    <w:rsid w:val="00016A9C"/>
    <w:rsid w:val="00022184"/>
    <w:rsid w:val="00022762"/>
    <w:rsid w:val="000238E0"/>
    <w:rsid w:val="00024530"/>
    <w:rsid w:val="000249DB"/>
    <w:rsid w:val="0002595E"/>
    <w:rsid w:val="000303C3"/>
    <w:rsid w:val="000331D3"/>
    <w:rsid w:val="000346A5"/>
    <w:rsid w:val="000359C3"/>
    <w:rsid w:val="00035A7D"/>
    <w:rsid w:val="000365ED"/>
    <w:rsid w:val="0004249A"/>
    <w:rsid w:val="00043282"/>
    <w:rsid w:val="00044286"/>
    <w:rsid w:val="000475FE"/>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EDA"/>
    <w:rsid w:val="00067F1E"/>
    <w:rsid w:val="00071CC0"/>
    <w:rsid w:val="00073C8C"/>
    <w:rsid w:val="00077B64"/>
    <w:rsid w:val="00080A1C"/>
    <w:rsid w:val="00082317"/>
    <w:rsid w:val="00083D2C"/>
    <w:rsid w:val="00086665"/>
    <w:rsid w:val="00086AA1"/>
    <w:rsid w:val="00087A77"/>
    <w:rsid w:val="00090CA6"/>
    <w:rsid w:val="00092B8A"/>
    <w:rsid w:val="00092FB0"/>
    <w:rsid w:val="000934C5"/>
    <w:rsid w:val="000938F9"/>
    <w:rsid w:val="00093D25"/>
    <w:rsid w:val="00093DAB"/>
    <w:rsid w:val="00094D73"/>
    <w:rsid w:val="00096D63"/>
    <w:rsid w:val="000A0B60"/>
    <w:rsid w:val="000A0EB8"/>
    <w:rsid w:val="000A1898"/>
    <w:rsid w:val="000A19FC"/>
    <w:rsid w:val="000A296B"/>
    <w:rsid w:val="000A7311"/>
    <w:rsid w:val="000B060F"/>
    <w:rsid w:val="000B1592"/>
    <w:rsid w:val="000B197A"/>
    <w:rsid w:val="000B1FF2"/>
    <w:rsid w:val="000B3CDA"/>
    <w:rsid w:val="000B6A0B"/>
    <w:rsid w:val="000C0F6C"/>
    <w:rsid w:val="000C0F72"/>
    <w:rsid w:val="000C11DB"/>
    <w:rsid w:val="000C1492"/>
    <w:rsid w:val="000C29A5"/>
    <w:rsid w:val="000C2FBD"/>
    <w:rsid w:val="000C4B41"/>
    <w:rsid w:val="000C57D6"/>
    <w:rsid w:val="000C6362"/>
    <w:rsid w:val="000C7666"/>
    <w:rsid w:val="000D054F"/>
    <w:rsid w:val="000D0A9C"/>
    <w:rsid w:val="000D1795"/>
    <w:rsid w:val="000D329A"/>
    <w:rsid w:val="000D4B9C"/>
    <w:rsid w:val="000D4EB6"/>
    <w:rsid w:val="000D753B"/>
    <w:rsid w:val="000E4C9E"/>
    <w:rsid w:val="000E6FD7"/>
    <w:rsid w:val="000F06E1"/>
    <w:rsid w:val="000F0E3C"/>
    <w:rsid w:val="000F19D5"/>
    <w:rsid w:val="000F3577"/>
    <w:rsid w:val="000F4AEA"/>
    <w:rsid w:val="000F5814"/>
    <w:rsid w:val="000F633F"/>
    <w:rsid w:val="000F67E9"/>
    <w:rsid w:val="00104926"/>
    <w:rsid w:val="00113B1E"/>
    <w:rsid w:val="0011711C"/>
    <w:rsid w:val="0012059C"/>
    <w:rsid w:val="00124E4F"/>
    <w:rsid w:val="001260B7"/>
    <w:rsid w:val="001265CB"/>
    <w:rsid w:val="00127FC4"/>
    <w:rsid w:val="001317C1"/>
    <w:rsid w:val="001321C6"/>
    <w:rsid w:val="001325C4"/>
    <w:rsid w:val="00133010"/>
    <w:rsid w:val="001338EE"/>
    <w:rsid w:val="00133AAE"/>
    <w:rsid w:val="00135323"/>
    <w:rsid w:val="001356C4"/>
    <w:rsid w:val="00135B96"/>
    <w:rsid w:val="00141114"/>
    <w:rsid w:val="00142969"/>
    <w:rsid w:val="001432E1"/>
    <w:rsid w:val="001446C2"/>
    <w:rsid w:val="001457E7"/>
    <w:rsid w:val="00145D9D"/>
    <w:rsid w:val="00146388"/>
    <w:rsid w:val="001509EC"/>
    <w:rsid w:val="00152870"/>
    <w:rsid w:val="001529E5"/>
    <w:rsid w:val="00153C7E"/>
    <w:rsid w:val="00154F20"/>
    <w:rsid w:val="00156B25"/>
    <w:rsid w:val="00156E1A"/>
    <w:rsid w:val="00157894"/>
    <w:rsid w:val="00157B55"/>
    <w:rsid w:val="00162ABE"/>
    <w:rsid w:val="001642FA"/>
    <w:rsid w:val="001649EB"/>
    <w:rsid w:val="00164BAF"/>
    <w:rsid w:val="00164FA8"/>
    <w:rsid w:val="00165065"/>
    <w:rsid w:val="00165434"/>
    <w:rsid w:val="0016580B"/>
    <w:rsid w:val="00165F49"/>
    <w:rsid w:val="00166B88"/>
    <w:rsid w:val="0016770A"/>
    <w:rsid w:val="00170804"/>
    <w:rsid w:val="001708E9"/>
    <w:rsid w:val="0017340B"/>
    <w:rsid w:val="00173C73"/>
    <w:rsid w:val="00173FB1"/>
    <w:rsid w:val="00176DFD"/>
    <w:rsid w:val="00183A3C"/>
    <w:rsid w:val="001852C9"/>
    <w:rsid w:val="00190087"/>
    <w:rsid w:val="00190B4E"/>
    <w:rsid w:val="001913C4"/>
    <w:rsid w:val="0019348F"/>
    <w:rsid w:val="00193A07"/>
    <w:rsid w:val="00194C95"/>
    <w:rsid w:val="00195C34"/>
    <w:rsid w:val="00196EF5"/>
    <w:rsid w:val="001A132E"/>
    <w:rsid w:val="001A1363"/>
    <w:rsid w:val="001A1A53"/>
    <w:rsid w:val="001A234A"/>
    <w:rsid w:val="001A4CF3"/>
    <w:rsid w:val="001B06E8"/>
    <w:rsid w:val="001B71D0"/>
    <w:rsid w:val="001B71EE"/>
    <w:rsid w:val="001C04A8"/>
    <w:rsid w:val="001C2C03"/>
    <w:rsid w:val="001C42F7"/>
    <w:rsid w:val="001C49E5"/>
    <w:rsid w:val="001C680C"/>
    <w:rsid w:val="001C6FF1"/>
    <w:rsid w:val="001C7FEA"/>
    <w:rsid w:val="001D0499"/>
    <w:rsid w:val="001D0BBE"/>
    <w:rsid w:val="001D0ED4"/>
    <w:rsid w:val="001D212F"/>
    <w:rsid w:val="001D2294"/>
    <w:rsid w:val="001D29D7"/>
    <w:rsid w:val="001D2DE7"/>
    <w:rsid w:val="001D411C"/>
    <w:rsid w:val="001D7589"/>
    <w:rsid w:val="001E1B6A"/>
    <w:rsid w:val="001E2484"/>
    <w:rsid w:val="001E3CC4"/>
    <w:rsid w:val="001E4882"/>
    <w:rsid w:val="001E6029"/>
    <w:rsid w:val="001E73AB"/>
    <w:rsid w:val="001F0796"/>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64D5"/>
    <w:rsid w:val="00210B15"/>
    <w:rsid w:val="002142EA"/>
    <w:rsid w:val="0021510F"/>
    <w:rsid w:val="002204BB"/>
    <w:rsid w:val="00221B79"/>
    <w:rsid w:val="00221C6B"/>
    <w:rsid w:val="002253A1"/>
    <w:rsid w:val="00225CF8"/>
    <w:rsid w:val="0022794E"/>
    <w:rsid w:val="00233D64"/>
    <w:rsid w:val="0023482A"/>
    <w:rsid w:val="002359CB"/>
    <w:rsid w:val="00240DD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808"/>
    <w:rsid w:val="00266A92"/>
    <w:rsid w:val="00266EEB"/>
    <w:rsid w:val="00267EF4"/>
    <w:rsid w:val="00270CB8"/>
    <w:rsid w:val="00272B08"/>
    <w:rsid w:val="002771AC"/>
    <w:rsid w:val="00281AF7"/>
    <w:rsid w:val="00281BB8"/>
    <w:rsid w:val="00281E9E"/>
    <w:rsid w:val="00282405"/>
    <w:rsid w:val="00285170"/>
    <w:rsid w:val="00285361"/>
    <w:rsid w:val="00286240"/>
    <w:rsid w:val="00292D60"/>
    <w:rsid w:val="00293B30"/>
    <w:rsid w:val="00294D34"/>
    <w:rsid w:val="00294E3B"/>
    <w:rsid w:val="00296193"/>
    <w:rsid w:val="00296C66"/>
    <w:rsid w:val="00296EBE"/>
    <w:rsid w:val="002974E3"/>
    <w:rsid w:val="002A0016"/>
    <w:rsid w:val="002A084B"/>
    <w:rsid w:val="002A1260"/>
    <w:rsid w:val="002A1589"/>
    <w:rsid w:val="002A1608"/>
    <w:rsid w:val="002A25DC"/>
    <w:rsid w:val="002A3AAB"/>
    <w:rsid w:val="002A4CEA"/>
    <w:rsid w:val="002A5977"/>
    <w:rsid w:val="002A5A13"/>
    <w:rsid w:val="002A757F"/>
    <w:rsid w:val="002A7775"/>
    <w:rsid w:val="002A7F44"/>
    <w:rsid w:val="002B0C40"/>
    <w:rsid w:val="002B1966"/>
    <w:rsid w:val="002B4508"/>
    <w:rsid w:val="002B5779"/>
    <w:rsid w:val="002B7332"/>
    <w:rsid w:val="002B7F51"/>
    <w:rsid w:val="002C09E7"/>
    <w:rsid w:val="002C1E06"/>
    <w:rsid w:val="002C1E1C"/>
    <w:rsid w:val="002C3F07"/>
    <w:rsid w:val="002C4F31"/>
    <w:rsid w:val="002C5278"/>
    <w:rsid w:val="002C5D3E"/>
    <w:rsid w:val="002C7EBB"/>
    <w:rsid w:val="002D06C1"/>
    <w:rsid w:val="002D42B5"/>
    <w:rsid w:val="002D4F1A"/>
    <w:rsid w:val="002D6EC6"/>
    <w:rsid w:val="002D79AC"/>
    <w:rsid w:val="002E035E"/>
    <w:rsid w:val="002E039D"/>
    <w:rsid w:val="002E4D5A"/>
    <w:rsid w:val="002E6326"/>
    <w:rsid w:val="002F12A7"/>
    <w:rsid w:val="002F30E0"/>
    <w:rsid w:val="002F35E4"/>
    <w:rsid w:val="002F3730"/>
    <w:rsid w:val="002F38E1"/>
    <w:rsid w:val="002F58B2"/>
    <w:rsid w:val="002F7AF6"/>
    <w:rsid w:val="00300E63"/>
    <w:rsid w:val="00302F5F"/>
    <w:rsid w:val="0030441D"/>
    <w:rsid w:val="00306063"/>
    <w:rsid w:val="003072E0"/>
    <w:rsid w:val="00313B85"/>
    <w:rsid w:val="00317988"/>
    <w:rsid w:val="00320198"/>
    <w:rsid w:val="003221B4"/>
    <w:rsid w:val="0032258D"/>
    <w:rsid w:val="00322E62"/>
    <w:rsid w:val="00324D13"/>
    <w:rsid w:val="00324D2A"/>
    <w:rsid w:val="00324EDD"/>
    <w:rsid w:val="003331E4"/>
    <w:rsid w:val="00336C64"/>
    <w:rsid w:val="00337162"/>
    <w:rsid w:val="0034194F"/>
    <w:rsid w:val="00344605"/>
    <w:rsid w:val="00346014"/>
    <w:rsid w:val="003474AA"/>
    <w:rsid w:val="00350D1D"/>
    <w:rsid w:val="00352C83"/>
    <w:rsid w:val="003615D2"/>
    <w:rsid w:val="00362544"/>
    <w:rsid w:val="0036429C"/>
    <w:rsid w:val="00364A53"/>
    <w:rsid w:val="003654CB"/>
    <w:rsid w:val="00365AA9"/>
    <w:rsid w:val="00365F86"/>
    <w:rsid w:val="00365F87"/>
    <w:rsid w:val="00366E89"/>
    <w:rsid w:val="003705D1"/>
    <w:rsid w:val="003705F4"/>
    <w:rsid w:val="00370D58"/>
    <w:rsid w:val="00371316"/>
    <w:rsid w:val="00375091"/>
    <w:rsid w:val="0037666C"/>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91D"/>
    <w:rsid w:val="00395700"/>
    <w:rsid w:val="003974EB"/>
    <w:rsid w:val="00397CC5"/>
    <w:rsid w:val="003A1582"/>
    <w:rsid w:val="003A4077"/>
    <w:rsid w:val="003A4C4C"/>
    <w:rsid w:val="003B09AD"/>
    <w:rsid w:val="003B1F18"/>
    <w:rsid w:val="003B4EF9"/>
    <w:rsid w:val="003B5BF0"/>
    <w:rsid w:val="003B60BF"/>
    <w:rsid w:val="003B6BE3"/>
    <w:rsid w:val="003C010C"/>
    <w:rsid w:val="003C0A6C"/>
    <w:rsid w:val="003C14F8"/>
    <w:rsid w:val="003C36F0"/>
    <w:rsid w:val="003C5A43"/>
    <w:rsid w:val="003D0519"/>
    <w:rsid w:val="003D0FF6"/>
    <w:rsid w:val="003D1175"/>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3F71FC"/>
    <w:rsid w:val="00400E72"/>
    <w:rsid w:val="0040138F"/>
    <w:rsid w:val="00401400"/>
    <w:rsid w:val="00404869"/>
    <w:rsid w:val="00405884"/>
    <w:rsid w:val="00407D39"/>
    <w:rsid w:val="0041253F"/>
    <w:rsid w:val="0041477A"/>
    <w:rsid w:val="004167A3"/>
    <w:rsid w:val="00424FD0"/>
    <w:rsid w:val="00432DAA"/>
    <w:rsid w:val="00434305"/>
    <w:rsid w:val="00435DF7"/>
    <w:rsid w:val="0044083F"/>
    <w:rsid w:val="00441AE7"/>
    <w:rsid w:val="00445574"/>
    <w:rsid w:val="004467FB"/>
    <w:rsid w:val="00452177"/>
    <w:rsid w:val="00452D6B"/>
    <w:rsid w:val="00454484"/>
    <w:rsid w:val="0045517B"/>
    <w:rsid w:val="004571D2"/>
    <w:rsid w:val="00463B77"/>
    <w:rsid w:val="00463C7B"/>
    <w:rsid w:val="004644A6"/>
    <w:rsid w:val="0046461E"/>
    <w:rsid w:val="004659BD"/>
    <w:rsid w:val="00465E69"/>
    <w:rsid w:val="00470775"/>
    <w:rsid w:val="00471B90"/>
    <w:rsid w:val="0047248B"/>
    <w:rsid w:val="00472919"/>
    <w:rsid w:val="004746B1"/>
    <w:rsid w:val="0047583F"/>
    <w:rsid w:val="00475DE8"/>
    <w:rsid w:val="00477C83"/>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A9D"/>
    <w:rsid w:val="004D4406"/>
    <w:rsid w:val="004D7810"/>
    <w:rsid w:val="004D7C42"/>
    <w:rsid w:val="004E0465"/>
    <w:rsid w:val="004E127B"/>
    <w:rsid w:val="004E1C0A"/>
    <w:rsid w:val="004E2787"/>
    <w:rsid w:val="004E2B06"/>
    <w:rsid w:val="004E30C5"/>
    <w:rsid w:val="004E4AA5"/>
    <w:rsid w:val="004E4AEE"/>
    <w:rsid w:val="004E59E3"/>
    <w:rsid w:val="004E67C0"/>
    <w:rsid w:val="004F1859"/>
    <w:rsid w:val="004F19EB"/>
    <w:rsid w:val="004F2B92"/>
    <w:rsid w:val="004F391A"/>
    <w:rsid w:val="004F3CFB"/>
    <w:rsid w:val="004F5E50"/>
    <w:rsid w:val="004F6456"/>
    <w:rsid w:val="004F696E"/>
    <w:rsid w:val="004F6C71"/>
    <w:rsid w:val="00501139"/>
    <w:rsid w:val="0050363E"/>
    <w:rsid w:val="005039BC"/>
    <w:rsid w:val="005043BB"/>
    <w:rsid w:val="00504A3D"/>
    <w:rsid w:val="00505767"/>
    <w:rsid w:val="005073F0"/>
    <w:rsid w:val="00510A7B"/>
    <w:rsid w:val="00511427"/>
    <w:rsid w:val="00512F6E"/>
    <w:rsid w:val="00513038"/>
    <w:rsid w:val="00514174"/>
    <w:rsid w:val="00516088"/>
    <w:rsid w:val="00516B0B"/>
    <w:rsid w:val="005220EC"/>
    <w:rsid w:val="00522752"/>
    <w:rsid w:val="00523F95"/>
    <w:rsid w:val="00524D65"/>
    <w:rsid w:val="00525B16"/>
    <w:rsid w:val="00526E8C"/>
    <w:rsid w:val="00533D04"/>
    <w:rsid w:val="00534804"/>
    <w:rsid w:val="005348B7"/>
    <w:rsid w:val="00534BDF"/>
    <w:rsid w:val="005354EA"/>
    <w:rsid w:val="0053585F"/>
    <w:rsid w:val="00535EC4"/>
    <w:rsid w:val="00535ED9"/>
    <w:rsid w:val="0053692B"/>
    <w:rsid w:val="005369BB"/>
    <w:rsid w:val="00536B32"/>
    <w:rsid w:val="00537F88"/>
    <w:rsid w:val="00541853"/>
    <w:rsid w:val="00543BDA"/>
    <w:rsid w:val="005441CC"/>
    <w:rsid w:val="005479DA"/>
    <w:rsid w:val="00547BCC"/>
    <w:rsid w:val="0055013B"/>
    <w:rsid w:val="00551F6F"/>
    <w:rsid w:val="00555044"/>
    <w:rsid w:val="00561330"/>
    <w:rsid w:val="00561475"/>
    <w:rsid w:val="0056487B"/>
    <w:rsid w:val="00564F86"/>
    <w:rsid w:val="00564FB9"/>
    <w:rsid w:val="005652E1"/>
    <w:rsid w:val="00570F52"/>
    <w:rsid w:val="005713F9"/>
    <w:rsid w:val="00573D9E"/>
    <w:rsid w:val="005801E3"/>
    <w:rsid w:val="00581802"/>
    <w:rsid w:val="005836A8"/>
    <w:rsid w:val="0058409C"/>
    <w:rsid w:val="00584262"/>
    <w:rsid w:val="00586630"/>
    <w:rsid w:val="00587ADD"/>
    <w:rsid w:val="00591E27"/>
    <w:rsid w:val="00594D1E"/>
    <w:rsid w:val="00596160"/>
    <w:rsid w:val="005966E2"/>
    <w:rsid w:val="00596C44"/>
    <w:rsid w:val="00597007"/>
    <w:rsid w:val="005A0966"/>
    <w:rsid w:val="005A11B7"/>
    <w:rsid w:val="005A260B"/>
    <w:rsid w:val="005A4102"/>
    <w:rsid w:val="005A4A1B"/>
    <w:rsid w:val="005A7830"/>
    <w:rsid w:val="005A7FCE"/>
    <w:rsid w:val="005B0F3F"/>
    <w:rsid w:val="005B4086"/>
    <w:rsid w:val="005B4903"/>
    <w:rsid w:val="005B51CE"/>
    <w:rsid w:val="005B5321"/>
    <w:rsid w:val="005B5885"/>
    <w:rsid w:val="005B5CD7"/>
    <w:rsid w:val="005B6CF6"/>
    <w:rsid w:val="005B7422"/>
    <w:rsid w:val="005C0724"/>
    <w:rsid w:val="005C29B8"/>
    <w:rsid w:val="005C3ED8"/>
    <w:rsid w:val="005C5F21"/>
    <w:rsid w:val="005C7156"/>
    <w:rsid w:val="005D0C75"/>
    <w:rsid w:val="005D1AFA"/>
    <w:rsid w:val="005D4171"/>
    <w:rsid w:val="005D6A95"/>
    <w:rsid w:val="005D6B2C"/>
    <w:rsid w:val="005D6D9C"/>
    <w:rsid w:val="005E2335"/>
    <w:rsid w:val="005E274D"/>
    <w:rsid w:val="005E34CA"/>
    <w:rsid w:val="005E3C18"/>
    <w:rsid w:val="005E6812"/>
    <w:rsid w:val="005E7881"/>
    <w:rsid w:val="005E78E0"/>
    <w:rsid w:val="005F0D9C"/>
    <w:rsid w:val="005F284E"/>
    <w:rsid w:val="005F4712"/>
    <w:rsid w:val="006015CE"/>
    <w:rsid w:val="00604784"/>
    <w:rsid w:val="00605F34"/>
    <w:rsid w:val="00606419"/>
    <w:rsid w:val="00607D29"/>
    <w:rsid w:val="00612952"/>
    <w:rsid w:val="00614CC1"/>
    <w:rsid w:val="00614FCF"/>
    <w:rsid w:val="00615A9D"/>
    <w:rsid w:val="00617387"/>
    <w:rsid w:val="006205D6"/>
    <w:rsid w:val="00621224"/>
    <w:rsid w:val="006252D8"/>
    <w:rsid w:val="006259BC"/>
    <w:rsid w:val="0062636B"/>
    <w:rsid w:val="00632182"/>
    <w:rsid w:val="00632AE0"/>
    <w:rsid w:val="00633C17"/>
    <w:rsid w:val="00634D97"/>
    <w:rsid w:val="00634D9E"/>
    <w:rsid w:val="00636E3E"/>
    <w:rsid w:val="006379F7"/>
    <w:rsid w:val="00637E4D"/>
    <w:rsid w:val="00640620"/>
    <w:rsid w:val="00641A1F"/>
    <w:rsid w:val="00641BD4"/>
    <w:rsid w:val="00642034"/>
    <w:rsid w:val="00642717"/>
    <w:rsid w:val="00642ABE"/>
    <w:rsid w:val="00645904"/>
    <w:rsid w:val="00651ACB"/>
    <w:rsid w:val="00651C47"/>
    <w:rsid w:val="00652AB2"/>
    <w:rsid w:val="00653FED"/>
    <w:rsid w:val="00654EC0"/>
    <w:rsid w:val="0065525B"/>
    <w:rsid w:val="00655D4F"/>
    <w:rsid w:val="00656D29"/>
    <w:rsid w:val="00660045"/>
    <w:rsid w:val="006640E5"/>
    <w:rsid w:val="006646F1"/>
    <w:rsid w:val="00664929"/>
    <w:rsid w:val="00664F62"/>
    <w:rsid w:val="006655E1"/>
    <w:rsid w:val="0066730D"/>
    <w:rsid w:val="00671040"/>
    <w:rsid w:val="006719DE"/>
    <w:rsid w:val="00672060"/>
    <w:rsid w:val="00672BFD"/>
    <w:rsid w:val="006770F4"/>
    <w:rsid w:val="00677A84"/>
    <w:rsid w:val="0068026D"/>
    <w:rsid w:val="00680A27"/>
    <w:rsid w:val="006816A4"/>
    <w:rsid w:val="006819B8"/>
    <w:rsid w:val="006840A6"/>
    <w:rsid w:val="006850CD"/>
    <w:rsid w:val="00685AAB"/>
    <w:rsid w:val="00685BFA"/>
    <w:rsid w:val="00695D22"/>
    <w:rsid w:val="006A07AA"/>
    <w:rsid w:val="006A25E5"/>
    <w:rsid w:val="006A2B46"/>
    <w:rsid w:val="006A336D"/>
    <w:rsid w:val="006A37B9"/>
    <w:rsid w:val="006B2672"/>
    <w:rsid w:val="006B35F3"/>
    <w:rsid w:val="006B4001"/>
    <w:rsid w:val="006B54BF"/>
    <w:rsid w:val="006B5F44"/>
    <w:rsid w:val="006B5F90"/>
    <w:rsid w:val="006B62E4"/>
    <w:rsid w:val="006C1BBA"/>
    <w:rsid w:val="006C2079"/>
    <w:rsid w:val="006C5A62"/>
    <w:rsid w:val="006C5D68"/>
    <w:rsid w:val="006C6976"/>
    <w:rsid w:val="006C6DD0"/>
    <w:rsid w:val="006D04EA"/>
    <w:rsid w:val="006D0AB7"/>
    <w:rsid w:val="006D16C4"/>
    <w:rsid w:val="006D2CD0"/>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40B"/>
    <w:rsid w:val="00711CBA"/>
    <w:rsid w:val="00711FB5"/>
    <w:rsid w:val="00712A01"/>
    <w:rsid w:val="007133C1"/>
    <w:rsid w:val="00714F58"/>
    <w:rsid w:val="00722FBF"/>
    <w:rsid w:val="00722FC2"/>
    <w:rsid w:val="00724879"/>
    <w:rsid w:val="00724E1B"/>
    <w:rsid w:val="00725949"/>
    <w:rsid w:val="00727FA2"/>
    <w:rsid w:val="00730C96"/>
    <w:rsid w:val="007322D9"/>
    <w:rsid w:val="00732BC0"/>
    <w:rsid w:val="00734B63"/>
    <w:rsid w:val="0073720F"/>
    <w:rsid w:val="00737796"/>
    <w:rsid w:val="00740D53"/>
    <w:rsid w:val="00740FE7"/>
    <w:rsid w:val="0074165C"/>
    <w:rsid w:val="00742C35"/>
    <w:rsid w:val="007432CA"/>
    <w:rsid w:val="007439EB"/>
    <w:rsid w:val="00743CB4"/>
    <w:rsid w:val="00743F0A"/>
    <w:rsid w:val="007444E8"/>
    <w:rsid w:val="00744ED9"/>
    <w:rsid w:val="007453EB"/>
    <w:rsid w:val="0074548E"/>
    <w:rsid w:val="00745773"/>
    <w:rsid w:val="00746800"/>
    <w:rsid w:val="007501A8"/>
    <w:rsid w:val="00750D61"/>
    <w:rsid w:val="00750EE1"/>
    <w:rsid w:val="00752B4D"/>
    <w:rsid w:val="00755402"/>
    <w:rsid w:val="00756B26"/>
    <w:rsid w:val="00756E69"/>
    <w:rsid w:val="00756EDF"/>
    <w:rsid w:val="007600E3"/>
    <w:rsid w:val="00761A07"/>
    <w:rsid w:val="00765C43"/>
    <w:rsid w:val="00765EFB"/>
    <w:rsid w:val="007671CA"/>
    <w:rsid w:val="00767C61"/>
    <w:rsid w:val="0077008A"/>
    <w:rsid w:val="00773C1F"/>
    <w:rsid w:val="00774DA4"/>
    <w:rsid w:val="00776599"/>
    <w:rsid w:val="00780186"/>
    <w:rsid w:val="0078058A"/>
    <w:rsid w:val="0078114B"/>
    <w:rsid w:val="00781DD2"/>
    <w:rsid w:val="00783ECF"/>
    <w:rsid w:val="0078413A"/>
    <w:rsid w:val="00791A8B"/>
    <w:rsid w:val="007959E8"/>
    <w:rsid w:val="00795E9C"/>
    <w:rsid w:val="007A0521"/>
    <w:rsid w:val="007A2E12"/>
    <w:rsid w:val="007A3475"/>
    <w:rsid w:val="007A41C8"/>
    <w:rsid w:val="007A4245"/>
    <w:rsid w:val="007A54CE"/>
    <w:rsid w:val="007A6FD9"/>
    <w:rsid w:val="007A7575"/>
    <w:rsid w:val="007A7FFA"/>
    <w:rsid w:val="007B04EB"/>
    <w:rsid w:val="007B0D4F"/>
    <w:rsid w:val="007B3FBF"/>
    <w:rsid w:val="007B5A3D"/>
    <w:rsid w:val="007B5B95"/>
    <w:rsid w:val="007B68EA"/>
    <w:rsid w:val="007B7453"/>
    <w:rsid w:val="007C1E8B"/>
    <w:rsid w:val="007C2D89"/>
    <w:rsid w:val="007C4593"/>
    <w:rsid w:val="007C5309"/>
    <w:rsid w:val="007C6069"/>
    <w:rsid w:val="007D06C4"/>
    <w:rsid w:val="007D1352"/>
    <w:rsid w:val="007D2508"/>
    <w:rsid w:val="007D346A"/>
    <w:rsid w:val="007D4154"/>
    <w:rsid w:val="007D6518"/>
    <w:rsid w:val="007D76BD"/>
    <w:rsid w:val="007E0BF1"/>
    <w:rsid w:val="007F0ED8"/>
    <w:rsid w:val="007F0F63"/>
    <w:rsid w:val="007F15ED"/>
    <w:rsid w:val="007F75CE"/>
    <w:rsid w:val="008013A4"/>
    <w:rsid w:val="008027CE"/>
    <w:rsid w:val="00802F42"/>
    <w:rsid w:val="00804383"/>
    <w:rsid w:val="00804BB7"/>
    <w:rsid w:val="00804D41"/>
    <w:rsid w:val="0080603D"/>
    <w:rsid w:val="00810257"/>
    <w:rsid w:val="008104F5"/>
    <w:rsid w:val="00811072"/>
    <w:rsid w:val="00811369"/>
    <w:rsid w:val="00815419"/>
    <w:rsid w:val="008163C8"/>
    <w:rsid w:val="008164A1"/>
    <w:rsid w:val="00817325"/>
    <w:rsid w:val="008209E6"/>
    <w:rsid w:val="00821456"/>
    <w:rsid w:val="00823303"/>
    <w:rsid w:val="008233B2"/>
    <w:rsid w:val="00823A9F"/>
    <w:rsid w:val="00823C85"/>
    <w:rsid w:val="00825138"/>
    <w:rsid w:val="008269DD"/>
    <w:rsid w:val="00826CDF"/>
    <w:rsid w:val="00830621"/>
    <w:rsid w:val="008314DC"/>
    <w:rsid w:val="0083348C"/>
    <w:rsid w:val="00835564"/>
    <w:rsid w:val="008373D3"/>
    <w:rsid w:val="00840617"/>
    <w:rsid w:val="00840F84"/>
    <w:rsid w:val="00842A47"/>
    <w:rsid w:val="00843C13"/>
    <w:rsid w:val="0084435E"/>
    <w:rsid w:val="008454F8"/>
    <w:rsid w:val="0084691D"/>
    <w:rsid w:val="00850429"/>
    <w:rsid w:val="0085173A"/>
    <w:rsid w:val="00856316"/>
    <w:rsid w:val="008603CE"/>
    <w:rsid w:val="008620FC"/>
    <w:rsid w:val="008627A5"/>
    <w:rsid w:val="00863E05"/>
    <w:rsid w:val="00864F94"/>
    <w:rsid w:val="00865ACA"/>
    <w:rsid w:val="00865D28"/>
    <w:rsid w:val="00865F85"/>
    <w:rsid w:val="00867C10"/>
    <w:rsid w:val="00870439"/>
    <w:rsid w:val="00870DA1"/>
    <w:rsid w:val="00875EBD"/>
    <w:rsid w:val="008763C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358"/>
    <w:rsid w:val="008B4AC4"/>
    <w:rsid w:val="008B50C8"/>
    <w:rsid w:val="008B5281"/>
    <w:rsid w:val="008B56B5"/>
    <w:rsid w:val="008B7E05"/>
    <w:rsid w:val="008C1797"/>
    <w:rsid w:val="008C219C"/>
    <w:rsid w:val="008C475E"/>
    <w:rsid w:val="008C619A"/>
    <w:rsid w:val="008D0CE8"/>
    <w:rsid w:val="008D2D1D"/>
    <w:rsid w:val="008D453D"/>
    <w:rsid w:val="008D53AD"/>
    <w:rsid w:val="008D562B"/>
    <w:rsid w:val="008D5733"/>
    <w:rsid w:val="008D622B"/>
    <w:rsid w:val="008D666C"/>
    <w:rsid w:val="008D715B"/>
    <w:rsid w:val="008D7B54"/>
    <w:rsid w:val="008E0C9D"/>
    <w:rsid w:val="008E1648"/>
    <w:rsid w:val="008E1B3E"/>
    <w:rsid w:val="008E2319"/>
    <w:rsid w:val="008E4BB6"/>
    <w:rsid w:val="008E5518"/>
    <w:rsid w:val="008E6A84"/>
    <w:rsid w:val="008F0CDC"/>
    <w:rsid w:val="008F17A3"/>
    <w:rsid w:val="008F1ED3"/>
    <w:rsid w:val="008F23A5"/>
    <w:rsid w:val="008F4C29"/>
    <w:rsid w:val="008F6B55"/>
    <w:rsid w:val="008F70BD"/>
    <w:rsid w:val="008F788F"/>
    <w:rsid w:val="008F7EA2"/>
    <w:rsid w:val="00902722"/>
    <w:rsid w:val="009027BC"/>
    <w:rsid w:val="009062E6"/>
    <w:rsid w:val="00906CCD"/>
    <w:rsid w:val="00911BE5"/>
    <w:rsid w:val="00913CA9"/>
    <w:rsid w:val="009145AE"/>
    <w:rsid w:val="009146CE"/>
    <w:rsid w:val="00914CA7"/>
    <w:rsid w:val="00915C3E"/>
    <w:rsid w:val="009161A8"/>
    <w:rsid w:val="0091744B"/>
    <w:rsid w:val="009225C2"/>
    <w:rsid w:val="00923252"/>
    <w:rsid w:val="009245F5"/>
    <w:rsid w:val="009249EC"/>
    <w:rsid w:val="009273B3"/>
    <w:rsid w:val="009305B5"/>
    <w:rsid w:val="009429D5"/>
    <w:rsid w:val="00942BF1"/>
    <w:rsid w:val="00945180"/>
    <w:rsid w:val="00945428"/>
    <w:rsid w:val="0094607B"/>
    <w:rsid w:val="009462FD"/>
    <w:rsid w:val="00951D00"/>
    <w:rsid w:val="00953604"/>
    <w:rsid w:val="0095496B"/>
    <w:rsid w:val="009610DC"/>
    <w:rsid w:val="00961490"/>
    <w:rsid w:val="00961749"/>
    <w:rsid w:val="0096381A"/>
    <w:rsid w:val="00965E04"/>
    <w:rsid w:val="009674AD"/>
    <w:rsid w:val="00970CDC"/>
    <w:rsid w:val="00972E8C"/>
    <w:rsid w:val="00977010"/>
    <w:rsid w:val="0097718E"/>
    <w:rsid w:val="00977D02"/>
    <w:rsid w:val="009809BB"/>
    <w:rsid w:val="0098364B"/>
    <w:rsid w:val="00990FD3"/>
    <w:rsid w:val="009911AF"/>
    <w:rsid w:val="00991875"/>
    <w:rsid w:val="00991F92"/>
    <w:rsid w:val="00992985"/>
    <w:rsid w:val="0099369C"/>
    <w:rsid w:val="00993889"/>
    <w:rsid w:val="00993ACE"/>
    <w:rsid w:val="0099551B"/>
    <w:rsid w:val="00996DBF"/>
    <w:rsid w:val="00997BF1"/>
    <w:rsid w:val="009A089C"/>
    <w:rsid w:val="009A118E"/>
    <w:rsid w:val="009A21CD"/>
    <w:rsid w:val="009A278C"/>
    <w:rsid w:val="009A2BC2"/>
    <w:rsid w:val="009A32D1"/>
    <w:rsid w:val="009A42C1"/>
    <w:rsid w:val="009A5429"/>
    <w:rsid w:val="009A72AD"/>
    <w:rsid w:val="009B09E0"/>
    <w:rsid w:val="009B0BC5"/>
    <w:rsid w:val="009B1247"/>
    <w:rsid w:val="009B3579"/>
    <w:rsid w:val="009B46F9"/>
    <w:rsid w:val="009B6029"/>
    <w:rsid w:val="009B6971"/>
    <w:rsid w:val="009B7C5B"/>
    <w:rsid w:val="009C27F1"/>
    <w:rsid w:val="009C3152"/>
    <w:rsid w:val="009C4CFA"/>
    <w:rsid w:val="009C5070"/>
    <w:rsid w:val="009C6712"/>
    <w:rsid w:val="009D08D7"/>
    <w:rsid w:val="009D112C"/>
    <w:rsid w:val="009D47FA"/>
    <w:rsid w:val="009D4C5B"/>
    <w:rsid w:val="009D50D2"/>
    <w:rsid w:val="009D6BCA"/>
    <w:rsid w:val="009E0F62"/>
    <w:rsid w:val="009E1AC5"/>
    <w:rsid w:val="009E4A58"/>
    <w:rsid w:val="009E5A2D"/>
    <w:rsid w:val="009E5AB2"/>
    <w:rsid w:val="009E6219"/>
    <w:rsid w:val="009F03B3"/>
    <w:rsid w:val="009F79B4"/>
    <w:rsid w:val="00A0096C"/>
    <w:rsid w:val="00A01757"/>
    <w:rsid w:val="00A028C0"/>
    <w:rsid w:val="00A02BAE"/>
    <w:rsid w:val="00A06A6B"/>
    <w:rsid w:val="00A07E47"/>
    <w:rsid w:val="00A129D0"/>
    <w:rsid w:val="00A12C33"/>
    <w:rsid w:val="00A1386D"/>
    <w:rsid w:val="00A138BA"/>
    <w:rsid w:val="00A14C8E"/>
    <w:rsid w:val="00A153D9"/>
    <w:rsid w:val="00A15F09"/>
    <w:rsid w:val="00A1666A"/>
    <w:rsid w:val="00A169B6"/>
    <w:rsid w:val="00A215FD"/>
    <w:rsid w:val="00A2271D"/>
    <w:rsid w:val="00A237D5"/>
    <w:rsid w:val="00A24706"/>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3424"/>
    <w:rsid w:val="00A55BD6"/>
    <w:rsid w:val="00A55D50"/>
    <w:rsid w:val="00A57142"/>
    <w:rsid w:val="00A63E7C"/>
    <w:rsid w:val="00A648CD"/>
    <w:rsid w:val="00A6537A"/>
    <w:rsid w:val="00A67866"/>
    <w:rsid w:val="00A70B07"/>
    <w:rsid w:val="00A723F8"/>
    <w:rsid w:val="00A7475A"/>
    <w:rsid w:val="00A77CCB"/>
    <w:rsid w:val="00A77CEE"/>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0444"/>
    <w:rsid w:val="00AC0CB5"/>
    <w:rsid w:val="00AC27A6"/>
    <w:rsid w:val="00AC30F7"/>
    <w:rsid w:val="00AC3A5A"/>
    <w:rsid w:val="00AC3F8C"/>
    <w:rsid w:val="00AC4D95"/>
    <w:rsid w:val="00AC5D1F"/>
    <w:rsid w:val="00AC5DF4"/>
    <w:rsid w:val="00AD0AEF"/>
    <w:rsid w:val="00AD11B7"/>
    <w:rsid w:val="00AD1A94"/>
    <w:rsid w:val="00AD1C05"/>
    <w:rsid w:val="00AD4126"/>
    <w:rsid w:val="00AD421C"/>
    <w:rsid w:val="00AD44FA"/>
    <w:rsid w:val="00AD4C9C"/>
    <w:rsid w:val="00AD7CF0"/>
    <w:rsid w:val="00AE0287"/>
    <w:rsid w:val="00AE0427"/>
    <w:rsid w:val="00AE070A"/>
    <w:rsid w:val="00AE101C"/>
    <w:rsid w:val="00AE2F2D"/>
    <w:rsid w:val="00AE37E5"/>
    <w:rsid w:val="00AE5E8F"/>
    <w:rsid w:val="00AE5EB4"/>
    <w:rsid w:val="00AE6B5A"/>
    <w:rsid w:val="00AF0C18"/>
    <w:rsid w:val="00AF47C5"/>
    <w:rsid w:val="00AF5398"/>
    <w:rsid w:val="00B049AF"/>
    <w:rsid w:val="00B07242"/>
    <w:rsid w:val="00B10534"/>
    <w:rsid w:val="00B113DB"/>
    <w:rsid w:val="00B11D8A"/>
    <w:rsid w:val="00B12981"/>
    <w:rsid w:val="00B147DD"/>
    <w:rsid w:val="00B156FD"/>
    <w:rsid w:val="00B21F61"/>
    <w:rsid w:val="00B22047"/>
    <w:rsid w:val="00B261F1"/>
    <w:rsid w:val="00B265BC"/>
    <w:rsid w:val="00B31FB1"/>
    <w:rsid w:val="00B33952"/>
    <w:rsid w:val="00B33C5E"/>
    <w:rsid w:val="00B342F4"/>
    <w:rsid w:val="00B34369"/>
    <w:rsid w:val="00B34DC2"/>
    <w:rsid w:val="00B378E5"/>
    <w:rsid w:val="00B4346D"/>
    <w:rsid w:val="00B440F4"/>
    <w:rsid w:val="00B447A5"/>
    <w:rsid w:val="00B44AA1"/>
    <w:rsid w:val="00B4654C"/>
    <w:rsid w:val="00B46AF0"/>
    <w:rsid w:val="00B47293"/>
    <w:rsid w:val="00B50E50"/>
    <w:rsid w:val="00B52120"/>
    <w:rsid w:val="00B53600"/>
    <w:rsid w:val="00B54ABC"/>
    <w:rsid w:val="00B54DDE"/>
    <w:rsid w:val="00B56FBE"/>
    <w:rsid w:val="00B60169"/>
    <w:rsid w:val="00B60ACF"/>
    <w:rsid w:val="00B62B58"/>
    <w:rsid w:val="00B65149"/>
    <w:rsid w:val="00B66567"/>
    <w:rsid w:val="00B66F52"/>
    <w:rsid w:val="00B66FE5"/>
    <w:rsid w:val="00B71EA5"/>
    <w:rsid w:val="00B72363"/>
    <w:rsid w:val="00B72880"/>
    <w:rsid w:val="00B755F5"/>
    <w:rsid w:val="00B758BF"/>
    <w:rsid w:val="00B77EC8"/>
    <w:rsid w:val="00B827A6"/>
    <w:rsid w:val="00B831CE"/>
    <w:rsid w:val="00B86677"/>
    <w:rsid w:val="00B87131"/>
    <w:rsid w:val="00B939B1"/>
    <w:rsid w:val="00B96D40"/>
    <w:rsid w:val="00B97386"/>
    <w:rsid w:val="00BA005B"/>
    <w:rsid w:val="00BA0E62"/>
    <w:rsid w:val="00BA263B"/>
    <w:rsid w:val="00BA42B2"/>
    <w:rsid w:val="00BA58D4"/>
    <w:rsid w:val="00BA5B9E"/>
    <w:rsid w:val="00BA7C9A"/>
    <w:rsid w:val="00BB203B"/>
    <w:rsid w:val="00BB22F6"/>
    <w:rsid w:val="00BB5F8F"/>
    <w:rsid w:val="00BB657A"/>
    <w:rsid w:val="00BB68DB"/>
    <w:rsid w:val="00BC1A4E"/>
    <w:rsid w:val="00BC4790"/>
    <w:rsid w:val="00BC5DC7"/>
    <w:rsid w:val="00BC6B8B"/>
    <w:rsid w:val="00BC73D8"/>
    <w:rsid w:val="00BD52D7"/>
    <w:rsid w:val="00BD5AD2"/>
    <w:rsid w:val="00BE22F3"/>
    <w:rsid w:val="00BE5B52"/>
    <w:rsid w:val="00BE786B"/>
    <w:rsid w:val="00BE7B8D"/>
    <w:rsid w:val="00BF0993"/>
    <w:rsid w:val="00BF09AE"/>
    <w:rsid w:val="00BF10A9"/>
    <w:rsid w:val="00BF1703"/>
    <w:rsid w:val="00BF231C"/>
    <w:rsid w:val="00BF2D6F"/>
    <w:rsid w:val="00BF51E5"/>
    <w:rsid w:val="00BF74A6"/>
    <w:rsid w:val="00C013AD"/>
    <w:rsid w:val="00C01D89"/>
    <w:rsid w:val="00C03DF8"/>
    <w:rsid w:val="00C04904"/>
    <w:rsid w:val="00C05676"/>
    <w:rsid w:val="00C056B3"/>
    <w:rsid w:val="00C103E5"/>
    <w:rsid w:val="00C13319"/>
    <w:rsid w:val="00C13EE9"/>
    <w:rsid w:val="00C14BC2"/>
    <w:rsid w:val="00C16240"/>
    <w:rsid w:val="00C21540"/>
    <w:rsid w:val="00C21906"/>
    <w:rsid w:val="00C21BFA"/>
    <w:rsid w:val="00C22148"/>
    <w:rsid w:val="00C2257D"/>
    <w:rsid w:val="00C24C8D"/>
    <w:rsid w:val="00C25FE2"/>
    <w:rsid w:val="00C26B53"/>
    <w:rsid w:val="00C27785"/>
    <w:rsid w:val="00C279B2"/>
    <w:rsid w:val="00C33E50"/>
    <w:rsid w:val="00C34C20"/>
    <w:rsid w:val="00C35A3E"/>
    <w:rsid w:val="00C42130"/>
    <w:rsid w:val="00C423A4"/>
    <w:rsid w:val="00C4376E"/>
    <w:rsid w:val="00C4391C"/>
    <w:rsid w:val="00C44BF5"/>
    <w:rsid w:val="00C45873"/>
    <w:rsid w:val="00C46523"/>
    <w:rsid w:val="00C521D6"/>
    <w:rsid w:val="00C55232"/>
    <w:rsid w:val="00C553A4"/>
    <w:rsid w:val="00C55538"/>
    <w:rsid w:val="00C55A06"/>
    <w:rsid w:val="00C55D03"/>
    <w:rsid w:val="00C601BC"/>
    <w:rsid w:val="00C61646"/>
    <w:rsid w:val="00C6329F"/>
    <w:rsid w:val="00C63340"/>
    <w:rsid w:val="00C63515"/>
    <w:rsid w:val="00C643F9"/>
    <w:rsid w:val="00C64E95"/>
    <w:rsid w:val="00C71372"/>
    <w:rsid w:val="00C72410"/>
    <w:rsid w:val="00C7287F"/>
    <w:rsid w:val="00C80982"/>
    <w:rsid w:val="00C80CB8"/>
    <w:rsid w:val="00C819F8"/>
    <w:rsid w:val="00C82445"/>
    <w:rsid w:val="00C8248C"/>
    <w:rsid w:val="00C84E33"/>
    <w:rsid w:val="00C86D6F"/>
    <w:rsid w:val="00C905FC"/>
    <w:rsid w:val="00C9120B"/>
    <w:rsid w:val="00C92D03"/>
    <w:rsid w:val="00C9319C"/>
    <w:rsid w:val="00C9435D"/>
    <w:rsid w:val="00C94DF2"/>
    <w:rsid w:val="00C96741"/>
    <w:rsid w:val="00CA2D1B"/>
    <w:rsid w:val="00CA375D"/>
    <w:rsid w:val="00CA40B6"/>
    <w:rsid w:val="00CA662A"/>
    <w:rsid w:val="00CA7AFD"/>
    <w:rsid w:val="00CA7C3C"/>
    <w:rsid w:val="00CB0189"/>
    <w:rsid w:val="00CB0BA2"/>
    <w:rsid w:val="00CB1A42"/>
    <w:rsid w:val="00CB1B0C"/>
    <w:rsid w:val="00CB2827"/>
    <w:rsid w:val="00CB2ACD"/>
    <w:rsid w:val="00CB2C0B"/>
    <w:rsid w:val="00CB517D"/>
    <w:rsid w:val="00CB63A4"/>
    <w:rsid w:val="00CC038D"/>
    <w:rsid w:val="00CC08DB"/>
    <w:rsid w:val="00CC2F72"/>
    <w:rsid w:val="00CC39FF"/>
    <w:rsid w:val="00CC3C2F"/>
    <w:rsid w:val="00CC4AC8"/>
    <w:rsid w:val="00CC5233"/>
    <w:rsid w:val="00CC5DE6"/>
    <w:rsid w:val="00CC6E4E"/>
    <w:rsid w:val="00CC6FE8"/>
    <w:rsid w:val="00CC7202"/>
    <w:rsid w:val="00CD2619"/>
    <w:rsid w:val="00CD2808"/>
    <w:rsid w:val="00CD28BF"/>
    <w:rsid w:val="00CD3E82"/>
    <w:rsid w:val="00CD4092"/>
    <w:rsid w:val="00CD4A20"/>
    <w:rsid w:val="00CD50A1"/>
    <w:rsid w:val="00CD519E"/>
    <w:rsid w:val="00CD561D"/>
    <w:rsid w:val="00CE0C4F"/>
    <w:rsid w:val="00CE30EA"/>
    <w:rsid w:val="00CE3665"/>
    <w:rsid w:val="00CE6604"/>
    <w:rsid w:val="00CF048A"/>
    <w:rsid w:val="00CF0D8B"/>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2B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2DF"/>
    <w:rsid w:val="00D466AE"/>
    <w:rsid w:val="00D46762"/>
    <w:rsid w:val="00D46915"/>
    <w:rsid w:val="00D4734F"/>
    <w:rsid w:val="00D47755"/>
    <w:rsid w:val="00D51BF3"/>
    <w:rsid w:val="00D64875"/>
    <w:rsid w:val="00D66846"/>
    <w:rsid w:val="00D675FB"/>
    <w:rsid w:val="00D71F25"/>
    <w:rsid w:val="00D72A9C"/>
    <w:rsid w:val="00D77031"/>
    <w:rsid w:val="00D80298"/>
    <w:rsid w:val="00D80CA2"/>
    <w:rsid w:val="00D844BD"/>
    <w:rsid w:val="00D84941"/>
    <w:rsid w:val="00D84FA1"/>
    <w:rsid w:val="00D851F0"/>
    <w:rsid w:val="00D86DB7"/>
    <w:rsid w:val="00D9076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129"/>
    <w:rsid w:val="00DB38EE"/>
    <w:rsid w:val="00DB498B"/>
    <w:rsid w:val="00DB66CA"/>
    <w:rsid w:val="00DB6BCA"/>
    <w:rsid w:val="00DB73F7"/>
    <w:rsid w:val="00DC0321"/>
    <w:rsid w:val="00DC1C27"/>
    <w:rsid w:val="00DC2E5C"/>
    <w:rsid w:val="00DC3067"/>
    <w:rsid w:val="00DC370B"/>
    <w:rsid w:val="00DC38D7"/>
    <w:rsid w:val="00DC5B90"/>
    <w:rsid w:val="00DD00FF"/>
    <w:rsid w:val="00DD0619"/>
    <w:rsid w:val="00DD07FB"/>
    <w:rsid w:val="00DD25C6"/>
    <w:rsid w:val="00DD4FE5"/>
    <w:rsid w:val="00DD54B0"/>
    <w:rsid w:val="00DD57EE"/>
    <w:rsid w:val="00DD6BCC"/>
    <w:rsid w:val="00DE0A4B"/>
    <w:rsid w:val="00DE20D4"/>
    <w:rsid w:val="00DE2410"/>
    <w:rsid w:val="00DE2939"/>
    <w:rsid w:val="00DE6E81"/>
    <w:rsid w:val="00DE703F"/>
    <w:rsid w:val="00DE7595"/>
    <w:rsid w:val="00DE7843"/>
    <w:rsid w:val="00DF078B"/>
    <w:rsid w:val="00DF1961"/>
    <w:rsid w:val="00DF44DE"/>
    <w:rsid w:val="00DF5F11"/>
    <w:rsid w:val="00E01138"/>
    <w:rsid w:val="00E02DFB"/>
    <w:rsid w:val="00E030F9"/>
    <w:rsid w:val="00E0311A"/>
    <w:rsid w:val="00E03138"/>
    <w:rsid w:val="00E04948"/>
    <w:rsid w:val="00E06404"/>
    <w:rsid w:val="00E065D2"/>
    <w:rsid w:val="00E11A85"/>
    <w:rsid w:val="00E11C7D"/>
    <w:rsid w:val="00E12495"/>
    <w:rsid w:val="00E14FB7"/>
    <w:rsid w:val="00E15CCD"/>
    <w:rsid w:val="00E202EF"/>
    <w:rsid w:val="00E210B5"/>
    <w:rsid w:val="00E23D99"/>
    <w:rsid w:val="00E2552F"/>
    <w:rsid w:val="00E3137A"/>
    <w:rsid w:val="00E32CCF"/>
    <w:rsid w:val="00E346B5"/>
    <w:rsid w:val="00E34A98"/>
    <w:rsid w:val="00E35D1E"/>
    <w:rsid w:val="00E364F9"/>
    <w:rsid w:val="00E365FA"/>
    <w:rsid w:val="00E36789"/>
    <w:rsid w:val="00E43D58"/>
    <w:rsid w:val="00E443F1"/>
    <w:rsid w:val="00E44A83"/>
    <w:rsid w:val="00E45221"/>
    <w:rsid w:val="00E502C1"/>
    <w:rsid w:val="00E502DD"/>
    <w:rsid w:val="00E50D3A"/>
    <w:rsid w:val="00E51387"/>
    <w:rsid w:val="00E51E68"/>
    <w:rsid w:val="00E52EFD"/>
    <w:rsid w:val="00E5408A"/>
    <w:rsid w:val="00E56800"/>
    <w:rsid w:val="00E57AF7"/>
    <w:rsid w:val="00E60C63"/>
    <w:rsid w:val="00E62A30"/>
    <w:rsid w:val="00E62FF9"/>
    <w:rsid w:val="00E635D6"/>
    <w:rsid w:val="00E639BC"/>
    <w:rsid w:val="00E664CC"/>
    <w:rsid w:val="00E70388"/>
    <w:rsid w:val="00E70F92"/>
    <w:rsid w:val="00E74C54"/>
    <w:rsid w:val="00E77A03"/>
    <w:rsid w:val="00E822E8"/>
    <w:rsid w:val="00E82554"/>
    <w:rsid w:val="00E82606"/>
    <w:rsid w:val="00E83E12"/>
    <w:rsid w:val="00E846C8"/>
    <w:rsid w:val="00E84957"/>
    <w:rsid w:val="00E84A55"/>
    <w:rsid w:val="00E85BFF"/>
    <w:rsid w:val="00E90391"/>
    <w:rsid w:val="00E906C2"/>
    <w:rsid w:val="00E9311F"/>
    <w:rsid w:val="00E934D1"/>
    <w:rsid w:val="00E94AF0"/>
    <w:rsid w:val="00E94F86"/>
    <w:rsid w:val="00E95D13"/>
    <w:rsid w:val="00E95DD3"/>
    <w:rsid w:val="00E969D5"/>
    <w:rsid w:val="00EA58D1"/>
    <w:rsid w:val="00EA61BC"/>
    <w:rsid w:val="00EA681A"/>
    <w:rsid w:val="00EA735B"/>
    <w:rsid w:val="00EB17DE"/>
    <w:rsid w:val="00EB1E69"/>
    <w:rsid w:val="00EB2086"/>
    <w:rsid w:val="00EB5EDF"/>
    <w:rsid w:val="00EB60FE"/>
    <w:rsid w:val="00EB74DB"/>
    <w:rsid w:val="00EC47EA"/>
    <w:rsid w:val="00EC5359"/>
    <w:rsid w:val="00EC562A"/>
    <w:rsid w:val="00ED0000"/>
    <w:rsid w:val="00ED067A"/>
    <w:rsid w:val="00ED2B50"/>
    <w:rsid w:val="00EE0350"/>
    <w:rsid w:val="00EE0719"/>
    <w:rsid w:val="00EE0E80"/>
    <w:rsid w:val="00EE54A6"/>
    <w:rsid w:val="00EE613F"/>
    <w:rsid w:val="00EE7295"/>
    <w:rsid w:val="00EE7869"/>
    <w:rsid w:val="00EF054A"/>
    <w:rsid w:val="00EF123D"/>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0B68"/>
    <w:rsid w:val="00F33817"/>
    <w:rsid w:val="00F35956"/>
    <w:rsid w:val="00F420D5"/>
    <w:rsid w:val="00F451EA"/>
    <w:rsid w:val="00F45447"/>
    <w:rsid w:val="00F456C6"/>
    <w:rsid w:val="00F4577B"/>
    <w:rsid w:val="00F46496"/>
    <w:rsid w:val="00F474D0"/>
    <w:rsid w:val="00F50179"/>
    <w:rsid w:val="00F515EE"/>
    <w:rsid w:val="00F56511"/>
    <w:rsid w:val="00F60EA8"/>
    <w:rsid w:val="00F61787"/>
    <w:rsid w:val="00F6194E"/>
    <w:rsid w:val="00F623AC"/>
    <w:rsid w:val="00F6412A"/>
    <w:rsid w:val="00F65893"/>
    <w:rsid w:val="00F66A4A"/>
    <w:rsid w:val="00F7031B"/>
    <w:rsid w:val="00F71E22"/>
    <w:rsid w:val="00F72142"/>
    <w:rsid w:val="00F72AE7"/>
    <w:rsid w:val="00F81141"/>
    <w:rsid w:val="00F833BA"/>
    <w:rsid w:val="00F84FD0"/>
    <w:rsid w:val="00F859A8"/>
    <w:rsid w:val="00F86D87"/>
    <w:rsid w:val="00F9108B"/>
    <w:rsid w:val="00F91349"/>
    <w:rsid w:val="00F93A8A"/>
    <w:rsid w:val="00F94CB2"/>
    <w:rsid w:val="00F95248"/>
    <w:rsid w:val="00F955E1"/>
    <w:rsid w:val="00F956A9"/>
    <w:rsid w:val="00F963ED"/>
    <w:rsid w:val="00F966CF"/>
    <w:rsid w:val="00F96CAE"/>
    <w:rsid w:val="00F97C99"/>
    <w:rsid w:val="00FA1314"/>
    <w:rsid w:val="00FA4DAC"/>
    <w:rsid w:val="00FA662D"/>
    <w:rsid w:val="00FA73B1"/>
    <w:rsid w:val="00FB00A4"/>
    <w:rsid w:val="00FB0CB9"/>
    <w:rsid w:val="00FB231D"/>
    <w:rsid w:val="00FB45F1"/>
    <w:rsid w:val="00FB4A72"/>
    <w:rsid w:val="00FB54E8"/>
    <w:rsid w:val="00FB7054"/>
    <w:rsid w:val="00FC17B7"/>
    <w:rsid w:val="00FC2CB7"/>
    <w:rsid w:val="00FC4090"/>
    <w:rsid w:val="00FC55B4"/>
    <w:rsid w:val="00FD00E6"/>
    <w:rsid w:val="00FD09A1"/>
    <w:rsid w:val="00FD1077"/>
    <w:rsid w:val="00FD2A7C"/>
    <w:rsid w:val="00FD2B90"/>
    <w:rsid w:val="00FD59EB"/>
    <w:rsid w:val="00FD7299"/>
    <w:rsid w:val="00FE1FBE"/>
    <w:rsid w:val="00FE3901"/>
    <w:rsid w:val="00FE39D3"/>
    <w:rsid w:val="00FE4BCE"/>
    <w:rsid w:val="00FE54AE"/>
    <w:rsid w:val="00FE576A"/>
    <w:rsid w:val="00FE7E79"/>
    <w:rsid w:val="00FF33B9"/>
    <w:rsid w:val="00FF3E7D"/>
    <w:rsid w:val="00FF45F0"/>
    <w:rsid w:val="00FF5B99"/>
    <w:rsid w:val="00FF730C"/>
    <w:rsid w:val="00FF73F4"/>
    <w:rsid w:val="00FF7CE4"/>
    <w:rsid w:val="00FF7E39"/>
    <w:rsid w:val="01F66B05"/>
    <w:rsid w:val="064E1B83"/>
    <w:rsid w:val="122E5DFF"/>
    <w:rsid w:val="159F7E0A"/>
    <w:rsid w:val="163A7468"/>
    <w:rsid w:val="17AF353E"/>
    <w:rsid w:val="19AD1CFF"/>
    <w:rsid w:val="2A1262DA"/>
    <w:rsid w:val="2B920D55"/>
    <w:rsid w:val="2BD5070B"/>
    <w:rsid w:val="2FC71915"/>
    <w:rsid w:val="32877139"/>
    <w:rsid w:val="3CC81218"/>
    <w:rsid w:val="3D6C3AFB"/>
    <w:rsid w:val="444A7FC7"/>
    <w:rsid w:val="49E46290"/>
    <w:rsid w:val="4DE54D40"/>
    <w:rsid w:val="502E6767"/>
    <w:rsid w:val="58FC7C2F"/>
    <w:rsid w:val="5C96623F"/>
    <w:rsid w:val="5D256AED"/>
    <w:rsid w:val="5E215592"/>
    <w:rsid w:val="646B1B68"/>
    <w:rsid w:val="67291310"/>
    <w:rsid w:val="6A0D631B"/>
    <w:rsid w:val="6B1C3EF5"/>
    <w:rsid w:val="6BC73B27"/>
    <w:rsid w:val="6FF670D1"/>
    <w:rsid w:val="75492997"/>
    <w:rsid w:val="77294282"/>
    <w:rsid w:val="78DD498A"/>
    <w:rsid w:val="7B244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5:docId w15:val="{41B4D8A5-FC60-44F7-A775-2ADEA9708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TOC7">
    <w:name w:val="toc 7"/>
    <w:basedOn w:val="afffb"/>
    <w:next w:val="afffb"/>
    <w:autoRedefine/>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affff1"/>
    <w:qFormat/>
    <w:pPr>
      <w:spacing w:after="120"/>
    </w:pPr>
  </w:style>
  <w:style w:type="paragraph" w:styleId="TOC5">
    <w:name w:val="toc 5"/>
    <w:basedOn w:val="afffb"/>
    <w:next w:val="afffb"/>
    <w:autoRedefine/>
    <w:uiPriority w:val="39"/>
    <w:unhideWhenUsed/>
    <w:qFormat/>
    <w:pPr>
      <w:ind w:left="839"/>
    </w:pPr>
    <w:rPr>
      <w:rFonts w:ascii="宋体"/>
    </w:rPr>
  </w:style>
  <w:style w:type="paragraph" w:styleId="TOC3">
    <w:name w:val="toc 3"/>
    <w:basedOn w:val="afffb"/>
    <w:next w:val="afffb"/>
    <w:autoRedefine/>
    <w:uiPriority w:val="39"/>
    <w:unhideWhenUsed/>
    <w:qFormat/>
    <w:pPr>
      <w:spacing w:line="300" w:lineRule="exact"/>
      <w:ind w:left="420"/>
    </w:pPr>
    <w:rPr>
      <w:rFonts w:ascii="宋体"/>
    </w:rPr>
  </w:style>
  <w:style w:type="paragraph" w:styleId="affff2">
    <w:name w:val="Balloon Text"/>
    <w:basedOn w:val="afffb"/>
    <w:link w:val="affff3"/>
    <w:uiPriority w:val="99"/>
    <w:semiHidden/>
    <w:unhideWhenUsed/>
    <w:qFormat/>
    <w:rPr>
      <w:sz w:val="18"/>
      <w:szCs w:val="18"/>
    </w:rPr>
  </w:style>
  <w:style w:type="paragraph" w:styleId="affff4">
    <w:name w:val="footer"/>
    <w:basedOn w:val="afffb"/>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b"/>
    <w:link w:val="affff7"/>
    <w:uiPriority w:val="99"/>
    <w:qFormat/>
    <w:pPr>
      <w:tabs>
        <w:tab w:val="center" w:pos="4153"/>
        <w:tab w:val="right" w:pos="8306"/>
      </w:tabs>
      <w:adjustRightInd/>
      <w:snapToGrid w:val="0"/>
      <w:jc w:val="center"/>
    </w:pPr>
    <w:rPr>
      <w:sz w:val="18"/>
      <w:szCs w:val="18"/>
    </w:rPr>
  </w:style>
  <w:style w:type="paragraph" w:styleId="TOC1">
    <w:name w:val="toc 1"/>
    <w:basedOn w:val="afffb"/>
    <w:next w:val="afffb"/>
    <w:autoRedefine/>
    <w:uiPriority w:val="39"/>
    <w:unhideWhenUsed/>
    <w:qFormat/>
    <w:rPr>
      <w:rFonts w:ascii="宋体"/>
    </w:rPr>
  </w:style>
  <w:style w:type="paragraph" w:styleId="TOC4">
    <w:name w:val="toc 4"/>
    <w:basedOn w:val="afffb"/>
    <w:next w:val="afffb"/>
    <w:autoRedefine/>
    <w:uiPriority w:val="39"/>
    <w:unhideWhenUsed/>
    <w:qFormat/>
    <w:pPr>
      <w:tabs>
        <w:tab w:val="right" w:leader="dot" w:pos="9344"/>
      </w:tabs>
      <w:spacing w:line="300" w:lineRule="exact"/>
      <w:ind w:left="629"/>
    </w:pPr>
    <w:rPr>
      <w:rFonts w:ascii="宋体"/>
    </w:rPr>
  </w:style>
  <w:style w:type="paragraph" w:styleId="affff8">
    <w:name w:val="footnote text"/>
    <w:basedOn w:val="afffb"/>
    <w:next w:val="afffb"/>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b"/>
    <w:next w:val="afffb"/>
    <w:autoRedefine/>
    <w:uiPriority w:val="39"/>
    <w:unhideWhenUsed/>
    <w:qFormat/>
    <w:pPr>
      <w:spacing w:line="300" w:lineRule="exact"/>
      <w:ind w:left="1049"/>
    </w:pPr>
    <w:rPr>
      <w:rFonts w:ascii="宋体"/>
    </w:rPr>
  </w:style>
  <w:style w:type="paragraph" w:styleId="affffa">
    <w:name w:val="table of figures"/>
    <w:basedOn w:val="afffb"/>
    <w:next w:val="afffb"/>
    <w:semiHidden/>
    <w:qFormat/>
    <w:pPr>
      <w:adjustRightInd/>
      <w:spacing w:line="240" w:lineRule="auto"/>
      <w:jc w:val="left"/>
    </w:pPr>
    <w:rPr>
      <w:szCs w:val="24"/>
    </w:rPr>
  </w:style>
  <w:style w:type="paragraph" w:styleId="TOC2">
    <w:name w:val="toc 2"/>
    <w:basedOn w:val="afffb"/>
    <w:next w:val="afffb"/>
    <w:autoRedefine/>
    <w:uiPriority w:val="39"/>
    <w:unhideWhenUsed/>
    <w:qFormat/>
    <w:pPr>
      <w:tabs>
        <w:tab w:val="right" w:leader="dot" w:pos="9344"/>
      </w:tabs>
      <w:spacing w:line="300" w:lineRule="exact"/>
      <w:ind w:left="210"/>
    </w:pPr>
    <w:rPr>
      <w:rFonts w:ascii="宋体"/>
    </w:rPr>
  </w:style>
  <w:style w:type="paragraph" w:styleId="affffb">
    <w:name w:val="Title"/>
    <w:basedOn w:val="afffb"/>
    <w:link w:val="affffc"/>
    <w:qFormat/>
    <w:pPr>
      <w:spacing w:before="240" w:after="60"/>
      <w:jc w:val="center"/>
      <w:outlineLvl w:val="0"/>
    </w:pPr>
    <w:rPr>
      <w:rFonts w:ascii="Arial" w:hAnsi="Arial" w:cs="Arial"/>
      <w:b/>
      <w:bCs/>
      <w:sz w:val="32"/>
      <w:szCs w:val="32"/>
    </w:rPr>
  </w:style>
  <w:style w:type="table" w:styleId="affffd">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qFormat/>
    <w:rPr>
      <w:rFonts w:ascii="宋体" w:eastAsia="宋体" w:hAnsi="Times New Roman"/>
      <w:sz w:val="18"/>
    </w:rPr>
  </w:style>
  <w:style w:type="character" w:styleId="afffff0">
    <w:name w:val="Emphasis"/>
    <w:uiPriority w:val="20"/>
    <w:qFormat/>
    <w:rPr>
      <w:i/>
      <w:iCs/>
    </w:rPr>
  </w:style>
  <w:style w:type="character" w:styleId="afffff1">
    <w:name w:val="Hyperlink"/>
    <w:uiPriority w:val="99"/>
    <w:qFormat/>
    <w:rPr>
      <w:rFonts w:ascii="宋体" w:eastAsia="宋体" w:hAnsi="Times New Roman"/>
      <w:color w:val="auto"/>
      <w:spacing w:val="0"/>
      <w:w w:val="100"/>
      <w:position w:val="0"/>
      <w:sz w:val="21"/>
      <w:u w:val="none"/>
      <w:vertAlign w:val="baseline"/>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qFormat/>
    <w:rPr>
      <w:kern w:val="2"/>
      <w:sz w:val="18"/>
      <w:szCs w:val="18"/>
    </w:rPr>
  </w:style>
  <w:style w:type="paragraph" w:styleId="afffff3">
    <w:name w:val="Quote"/>
    <w:basedOn w:val="afffb"/>
    <w:next w:val="afffb"/>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c">
    <w:name w:val="标题 字符"/>
    <w:link w:val="affffb"/>
    <w:qFormat/>
    <w:rPr>
      <w:rFonts w:ascii="Arial" w:hAnsi="Arial" w:cs="Arial"/>
      <w:b/>
      <w:bCs/>
      <w:kern w:val="2"/>
      <w:sz w:val="32"/>
      <w:szCs w:val="32"/>
    </w:rPr>
  </w:style>
  <w:style w:type="paragraph" w:customStyle="1" w:styleId="afffff5">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6">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7">
    <w:name w:val="标准文件_页脚偶数页"/>
    <w:qFormat/>
    <w:pPr>
      <w:ind w:left="198"/>
    </w:pPr>
    <w:rPr>
      <w:rFonts w:ascii="宋体" w:hAnsi="Times New Roman"/>
      <w:sz w:val="18"/>
    </w:rPr>
  </w:style>
  <w:style w:type="paragraph" w:customStyle="1" w:styleId="afffff8">
    <w:name w:val="标准文件_页脚奇数页"/>
    <w:qFormat/>
    <w:pPr>
      <w:ind w:right="227"/>
      <w:jc w:val="right"/>
    </w:pPr>
    <w:rPr>
      <w:rFonts w:ascii="宋体" w:hAnsi="Times New Roman"/>
      <w:sz w:val="18"/>
    </w:rPr>
  </w:style>
  <w:style w:type="paragraph" w:customStyle="1" w:styleId="afffff9">
    <w:name w:val="标准书眉一"/>
    <w:qFormat/>
    <w:pPr>
      <w:jc w:val="both"/>
    </w:pPr>
    <w:rPr>
      <w:rFonts w:ascii="Times New Roman" w:hAnsi="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a">
    <w:name w:val="标准文件_标准正文"/>
    <w:basedOn w:val="afffb"/>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hAnsi="Times New Roman"/>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b"/>
    <w:qFormat/>
    <w:pPr>
      <w:jc w:val="center"/>
    </w:pPr>
    <w:rPr>
      <w:rFonts w:ascii="黑体" w:eastAsia="黑体"/>
      <w:kern w:val="0"/>
      <w:sz w:val="44"/>
    </w:rPr>
  </w:style>
  <w:style w:type="paragraph" w:customStyle="1" w:styleId="afffffe">
    <w:name w:val="标准文件_标准代替"/>
    <w:basedOn w:val="afffb"/>
    <w:next w:val="afffb"/>
    <w:qFormat/>
    <w:pPr>
      <w:spacing w:line="310" w:lineRule="exact"/>
      <w:jc w:val="right"/>
    </w:pPr>
    <w:rPr>
      <w:rFonts w:ascii="宋体" w:hAnsi="宋体"/>
      <w:kern w:val="0"/>
    </w:rPr>
  </w:style>
  <w:style w:type="paragraph" w:customStyle="1" w:styleId="affffff">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b"/>
    <w:qFormat/>
    <w:pPr>
      <w:jc w:val="left"/>
    </w:pPr>
  </w:style>
  <w:style w:type="paragraph" w:customStyle="1" w:styleId="affffff2">
    <w:name w:val="标准文件_参考文献标题"/>
    <w:basedOn w:val="afffb"/>
    <w:next w:val="afffb"/>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4">
    <w:name w:val="标准文件_二级条标题"/>
    <w:next w:val="afffffb"/>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b"/>
    <w:next w:val="afffffe"/>
    <w:qFormat/>
    <w:pPr>
      <w:spacing w:line="310" w:lineRule="exact"/>
      <w:jc w:val="right"/>
    </w:pPr>
    <w:rPr>
      <w:rFonts w:ascii="黑体" w:eastAsia="黑体"/>
      <w:kern w:val="0"/>
      <w:sz w:val="28"/>
    </w:rPr>
  </w:style>
  <w:style w:type="paragraph" w:customStyle="1" w:styleId="affffff5">
    <w:name w:val="标准文件_封面标准分类号"/>
    <w:basedOn w:val="afffb"/>
    <w:qFormat/>
    <w:rPr>
      <w:rFonts w:ascii="黑体" w:eastAsia="黑体"/>
      <w:b/>
      <w:kern w:val="0"/>
      <w:sz w:val="28"/>
    </w:rPr>
  </w:style>
  <w:style w:type="paragraph" w:customStyle="1" w:styleId="affffff6">
    <w:name w:val="标准文件_封面标准名称"/>
    <w:basedOn w:val="afffb"/>
    <w:qFormat/>
    <w:pPr>
      <w:spacing w:line="240" w:lineRule="auto"/>
      <w:jc w:val="center"/>
    </w:pPr>
    <w:rPr>
      <w:rFonts w:ascii="黑体" w:eastAsia="黑体"/>
      <w:kern w:val="0"/>
      <w:sz w:val="52"/>
    </w:rPr>
  </w:style>
  <w:style w:type="paragraph" w:customStyle="1" w:styleId="affffff7">
    <w:name w:val="标准文件_封面标准英文名称"/>
    <w:basedOn w:val="afffb"/>
    <w:qFormat/>
    <w:pPr>
      <w:spacing w:line="240" w:lineRule="auto"/>
      <w:jc w:val="center"/>
    </w:pPr>
    <w:rPr>
      <w:rFonts w:ascii="黑体" w:eastAsia="黑体"/>
      <w:b/>
      <w:sz w:val="28"/>
    </w:rPr>
  </w:style>
  <w:style w:type="paragraph" w:customStyle="1" w:styleId="affffff8">
    <w:name w:val="标准文件_封面发布日期"/>
    <w:basedOn w:val="afffb"/>
    <w:qFormat/>
    <w:pPr>
      <w:spacing w:line="310" w:lineRule="exact"/>
    </w:pPr>
    <w:rPr>
      <w:rFonts w:ascii="黑体" w:eastAsia="黑体"/>
      <w:kern w:val="0"/>
      <w:sz w:val="28"/>
    </w:rPr>
  </w:style>
  <w:style w:type="paragraph" w:customStyle="1" w:styleId="affffff9">
    <w:name w:val="标准文件_封面密级"/>
    <w:basedOn w:val="afffb"/>
    <w:qFormat/>
    <w:rPr>
      <w:rFonts w:eastAsia="黑体"/>
      <w:sz w:val="32"/>
    </w:rPr>
  </w:style>
  <w:style w:type="paragraph" w:customStyle="1" w:styleId="affffffa">
    <w:name w:val="标准文件_封面实施日期"/>
    <w:basedOn w:val="afffb"/>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5">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a">
    <w:name w:val="标准文件_附录一级条标题"/>
    <w:next w:val="afffffb"/>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b"/>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fb"/>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b"/>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e">
    <w:name w:val="标准文件_附录五级条标题"/>
    <w:next w:val="afffffb"/>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1">
    <w:name w:val="正文文本 字符"/>
    <w:link w:val="affff0"/>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b"/>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9">
    <w:name w:val="脚注文本 字符"/>
    <w:link w:val="affff8"/>
    <w:semiHidden/>
    <w:qFormat/>
    <w:rPr>
      <w:rFonts w:ascii="宋体"/>
      <w:kern w:val="2"/>
      <w:sz w:val="18"/>
      <w:szCs w:val="18"/>
    </w:rPr>
  </w:style>
  <w:style w:type="paragraph" w:customStyle="1" w:styleId="afffffff2">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b"/>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fb"/>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fb"/>
    <w:qFormat/>
    <w:pPr>
      <w:numPr>
        <w:ilvl w:val="2"/>
      </w:numPr>
      <w:spacing w:beforeLines="50" w:before="50" w:afterLines="50" w:after="50"/>
      <w:outlineLvl w:val="1"/>
    </w:pPr>
  </w:style>
  <w:style w:type="paragraph" w:customStyle="1" w:styleId="afffffff4">
    <w:name w:val="标准文件_一致程度"/>
    <w:basedOn w:val="afffb"/>
    <w:qFormat/>
    <w:pPr>
      <w:spacing w:line="440" w:lineRule="exact"/>
      <w:jc w:val="center"/>
    </w:pPr>
    <w:rPr>
      <w:sz w:val="28"/>
    </w:rPr>
  </w:style>
  <w:style w:type="paragraph" w:customStyle="1" w:styleId="afffffff5">
    <w:name w:val="标准文件_引言标题"/>
    <w:next w:val="afffb"/>
    <w:qFormat/>
    <w:pPr>
      <w:shd w:val="clear" w:color="FFFFFF" w:fill="FFFFFF"/>
      <w:spacing w:before="540" w:after="600"/>
      <w:jc w:val="center"/>
      <w:outlineLvl w:val="0"/>
    </w:pPr>
    <w:rPr>
      <w:rFonts w:ascii="黑体" w:eastAsia="黑体" w:hAnsi="Times New Roman"/>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b"/>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b"/>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7">
    <w:name w:val="标准文件_正文公式"/>
    <w:basedOn w:val="afffb"/>
    <w:next w:val="afffffa"/>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b"/>
    <w:qFormat/>
    <w:pPr>
      <w:numPr>
        <w:numId w:val="17"/>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fb"/>
    <w:qFormat/>
    <w:pPr>
      <w:numPr>
        <w:numId w:val="18"/>
      </w:numPr>
      <w:jc w:val="center"/>
    </w:pPr>
    <w:rPr>
      <w:rFonts w:ascii="黑体" w:eastAsia="黑体" w:hAnsi="Times New Roman"/>
      <w:sz w:val="21"/>
    </w:rPr>
  </w:style>
  <w:style w:type="paragraph" w:customStyle="1" w:styleId="aff1">
    <w:name w:val="标准文件_正文英文图标题"/>
    <w:next w:val="afffffb"/>
    <w:qFormat/>
    <w:pPr>
      <w:numPr>
        <w:numId w:val="19"/>
      </w:numPr>
      <w:jc w:val="center"/>
    </w:pPr>
    <w:rPr>
      <w:rFonts w:ascii="黑体" w:eastAsia="黑体" w:hAnsi="Times New Roman"/>
      <w:sz w:val="21"/>
    </w:rPr>
  </w:style>
  <w:style w:type="paragraph" w:customStyle="1" w:styleId="afd">
    <w:name w:val="标准文件_编号列项（三级）"/>
    <w:qFormat/>
    <w:pPr>
      <w:numPr>
        <w:ilvl w:val="2"/>
        <w:numId w:val="13"/>
      </w:numPr>
    </w:pPr>
    <w:rPr>
      <w:rFonts w:ascii="宋体" w:hAnsi="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9">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a">
    <w:name w:val="封面标准代替信息"/>
    <w:basedOn w:val="afffb"/>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c">
    <w:name w:val="封面标准文稿编辑信息"/>
    <w:qFormat/>
    <w:pPr>
      <w:spacing w:before="180" w:line="180" w:lineRule="exact"/>
      <w:jc w:val="center"/>
    </w:pPr>
    <w:rPr>
      <w:rFonts w:ascii="宋体" w:hAnsi="Times New Roman"/>
      <w:sz w:val="21"/>
    </w:rPr>
  </w:style>
  <w:style w:type="paragraph" w:customStyle="1" w:styleId="afffffffd">
    <w:name w:val="封面标准文稿类别"/>
    <w:qFormat/>
    <w:pPr>
      <w:spacing w:before="440" w:line="400" w:lineRule="exact"/>
      <w:jc w:val="center"/>
    </w:pPr>
    <w:rPr>
      <w:rFonts w:ascii="宋体" w:hAnsi="Times New Roman"/>
      <w:sz w:val="24"/>
    </w:rPr>
  </w:style>
  <w:style w:type="paragraph" w:customStyle="1" w:styleId="afffffffe">
    <w:name w:val="封面标准英文名称"/>
    <w:qFormat/>
    <w:pPr>
      <w:widowControl w:val="0"/>
      <w:spacing w:line="360" w:lineRule="exact"/>
      <w:jc w:val="center"/>
    </w:pPr>
    <w:rPr>
      <w:rFonts w:ascii="Times New Roman" w:hAnsi="Times New Roman"/>
      <w:sz w:val="28"/>
    </w:rPr>
  </w:style>
  <w:style w:type="paragraph" w:customStyle="1" w:styleId="affffffff">
    <w:name w:val="封面一致性程度标识"/>
    <w:qFormat/>
    <w:pPr>
      <w:spacing w:before="440" w:line="440" w:lineRule="exact"/>
      <w:jc w:val="center"/>
    </w:pPr>
    <w:rPr>
      <w:rFonts w:ascii="Times New Roman" w:hAnsi="Times New Roman"/>
      <w:sz w:val="28"/>
    </w:rPr>
  </w:style>
  <w:style w:type="paragraph" w:customStyle="1" w:styleId="affffffff0">
    <w:name w:val="封面正文"/>
    <w:qFormat/>
    <w:pPr>
      <w:jc w:val="both"/>
    </w:pPr>
    <w:rPr>
      <w:rFonts w:ascii="Times New Roman" w:hAnsi="Times New Roman"/>
    </w:rPr>
  </w:style>
  <w:style w:type="paragraph" w:customStyle="1" w:styleId="affffffff1">
    <w:name w:val="附录二级无标题条"/>
    <w:basedOn w:val="afffb"/>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1"/>
      </w:numPr>
    </w:pPr>
    <w:rPr>
      <w:rFonts w:ascii="宋体" w:hAnsi="Times New Roman"/>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b"/>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hAnsi="Times New Roman"/>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hAnsi="Times New Roman"/>
      <w:sz w:val="21"/>
    </w:rPr>
  </w:style>
  <w:style w:type="paragraph" w:customStyle="1" w:styleId="210">
    <w:name w:val="目录 21"/>
    <w:basedOn w:val="afffb"/>
    <w:next w:val="afffb"/>
    <w:autoRedefine/>
    <w:semiHidden/>
    <w:qFormat/>
    <w:pPr>
      <w:adjustRightInd/>
      <w:spacing w:line="240" w:lineRule="auto"/>
      <w:jc w:val="left"/>
    </w:pPr>
    <w:rPr>
      <w:bCs/>
      <w:iCs/>
    </w:rPr>
  </w:style>
  <w:style w:type="paragraph" w:customStyle="1" w:styleId="31">
    <w:name w:val="目录 31"/>
    <w:basedOn w:val="afffb"/>
    <w:next w:val="afffb"/>
    <w:autoRedefine/>
    <w:semiHidden/>
    <w:qFormat/>
    <w:pPr>
      <w:spacing w:line="240" w:lineRule="auto"/>
    </w:pPr>
    <w:rPr>
      <w:rFonts w:ascii="宋体" w:hAnsi="宋体"/>
      <w:iCs/>
    </w:rPr>
  </w:style>
  <w:style w:type="paragraph" w:customStyle="1" w:styleId="41">
    <w:name w:val="目录 41"/>
    <w:basedOn w:val="afffb"/>
    <w:next w:val="afffb"/>
    <w:autoRedefine/>
    <w:semiHidden/>
    <w:qFormat/>
    <w:pPr>
      <w:adjustRightInd/>
      <w:spacing w:line="240" w:lineRule="auto"/>
      <w:jc w:val="left"/>
    </w:pPr>
  </w:style>
  <w:style w:type="paragraph" w:customStyle="1" w:styleId="51">
    <w:name w:val="目录 51"/>
    <w:basedOn w:val="afffb"/>
    <w:next w:val="afffb"/>
    <w:autoRedefine/>
    <w:semiHidden/>
    <w:qFormat/>
    <w:pPr>
      <w:spacing w:line="240" w:lineRule="auto"/>
    </w:pPr>
    <w:rPr>
      <w:rFonts w:ascii="宋体" w:hAnsi="宋体"/>
    </w:rPr>
  </w:style>
  <w:style w:type="paragraph" w:customStyle="1" w:styleId="61">
    <w:name w:val="目录 61"/>
    <w:basedOn w:val="afffb"/>
    <w:next w:val="afffb"/>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hAnsi="Times New Roman"/>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f3"/>
    <w:qFormat/>
    <w:pPr>
      <w:spacing w:beforeLines="0" w:before="0" w:afterLines="0" w:after="0"/>
      <w:outlineLvl w:val="9"/>
    </w:pPr>
    <w:rPr>
      <w:rFonts w:ascii="宋体" w:eastAsia="宋体"/>
    </w:rPr>
  </w:style>
  <w:style w:type="paragraph" w:customStyle="1" w:styleId="afffffffff5">
    <w:name w:val="标准文件_五级无标题"/>
    <w:basedOn w:val="afff7"/>
    <w:qFormat/>
    <w:pPr>
      <w:spacing w:beforeLines="0" w:before="0" w:afterLines="0" w:after="0"/>
      <w:outlineLvl w:val="9"/>
    </w:pPr>
    <w:rPr>
      <w:rFonts w:ascii="宋体" w:eastAsia="宋体"/>
    </w:rPr>
  </w:style>
  <w:style w:type="paragraph" w:customStyle="1" w:styleId="afffffffff6">
    <w:name w:val="标准文件_三级无标题"/>
    <w:basedOn w:val="afff5"/>
    <w:qFormat/>
    <w:pPr>
      <w:spacing w:beforeLines="0" w:before="0" w:afterLines="0" w:after="0"/>
      <w:outlineLvl w:val="9"/>
    </w:pPr>
    <w:rPr>
      <w:rFonts w:ascii="宋体" w:eastAsia="宋体"/>
    </w:rPr>
  </w:style>
  <w:style w:type="paragraph" w:customStyle="1" w:styleId="afffffffff7">
    <w:name w:val="标准文件_二级无标题"/>
    <w:basedOn w:val="afff4"/>
    <w:qFormat/>
    <w:pPr>
      <w:spacing w:beforeLines="0" w:before="0" w:afterLines="0" w:after="0"/>
      <w:outlineLvl w:val="9"/>
    </w:pPr>
    <w:rPr>
      <w:rFonts w:ascii="宋体" w:eastAsia="宋体"/>
    </w:rPr>
  </w:style>
  <w:style w:type="paragraph" w:customStyle="1" w:styleId="afffffffff8">
    <w:name w:val="标准_四级无标题"/>
    <w:basedOn w:val="afff6"/>
    <w:next w:val="afffffb"/>
    <w:qFormat/>
    <w:rPr>
      <w:rFonts w:eastAsia="宋体"/>
    </w:rPr>
  </w:style>
  <w:style w:type="paragraph" w:customStyle="1" w:styleId="afffffffff9">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9"/>
    <w:qFormat/>
    <w:pPr>
      <w:numPr>
        <w:numId w:val="0"/>
      </w:numPr>
      <w:spacing w:after="280"/>
      <w:outlineLvl w:val="9"/>
    </w:pPr>
  </w:style>
  <w:style w:type="paragraph" w:customStyle="1" w:styleId="afffffffffb">
    <w:name w:val="标准文件_二级项"/>
    <w:qFormat/>
    <w:rPr>
      <w:rFonts w:ascii="宋体" w:hAnsi="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b"/>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8">
    <w:name w:val="标准文件_注："/>
    <w:next w:val="afffffb"/>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0"/>
    <w:qFormat/>
    <w:pPr>
      <w:widowControl w:val="0"/>
      <w:numPr>
        <w:numId w:val="28"/>
      </w:numPr>
      <w:jc w:val="both"/>
    </w:pPr>
    <w:rPr>
      <w:rFonts w:ascii="宋体" w:hAnsi="Times New Roman"/>
      <w:sz w:val="18"/>
      <w:szCs w:val="18"/>
    </w:rPr>
  </w:style>
  <w:style w:type="paragraph" w:customStyle="1" w:styleId="affffffffff0">
    <w:name w:val="标准文件_示例内容"/>
    <w:basedOn w:val="afffffb"/>
    <w:qFormat/>
    <w:pPr>
      <w:ind w:firstLine="420"/>
    </w:pPr>
    <w:rPr>
      <w:sz w:val="18"/>
    </w:rPr>
  </w:style>
  <w:style w:type="paragraph" w:customStyle="1" w:styleId="aff0">
    <w:name w:val="标准文件_示例×："/>
    <w:basedOn w:val="afffb"/>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c"/>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pPr>
      <w:ind w:firstLine="420"/>
    </w:pPr>
    <w:rPr>
      <w:rFonts w:ascii="黑体" w:eastAsia="黑体"/>
    </w:rPr>
  </w:style>
  <w:style w:type="character" w:customStyle="1" w:styleId="affffffffff4">
    <w:name w:val="标准文件_来源"/>
    <w:basedOn w:val="afffc"/>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
    <w:name w:val="发布"/>
    <w:basedOn w:val="afffc"/>
    <w:qFormat/>
    <w:rPr>
      <w:rFonts w:ascii="黑体" w:eastAsia="黑体"/>
      <w:spacing w:val="85"/>
      <w:w w:val="100"/>
      <w:position w:val="3"/>
      <w:sz w:val="28"/>
      <w:szCs w:val="28"/>
    </w:rPr>
  </w:style>
  <w:style w:type="paragraph" w:customStyle="1" w:styleId="affffffffffff0">
    <w:name w:val="段"/>
    <w:link w:val="Char0"/>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f0"/>
    <w:qFormat/>
    <w:rPr>
      <w:rFonts w:ascii="宋体" w:hAnsi="Times New Roman"/>
      <w:sz w:val="21"/>
    </w:rPr>
  </w:style>
  <w:style w:type="paragraph" w:customStyle="1" w:styleId="af3">
    <w:name w:val="一级条标题"/>
    <w:next w:val="affffffffffff0"/>
    <w:qFormat/>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f0"/>
    <w:qFormat/>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f0"/>
    <w:qFormat/>
    <w:pPr>
      <w:numPr>
        <w:ilvl w:val="2"/>
      </w:numPr>
      <w:spacing w:before="50" w:after="50"/>
      <w:outlineLvl w:val="3"/>
    </w:pPr>
  </w:style>
  <w:style w:type="paragraph" w:customStyle="1" w:styleId="af5">
    <w:name w:val="三级条标题"/>
    <w:basedOn w:val="af4"/>
    <w:next w:val="affffffffffff0"/>
    <w:qFormat/>
    <w:pPr>
      <w:numPr>
        <w:ilvl w:val="3"/>
      </w:numPr>
      <w:outlineLvl w:val="4"/>
    </w:pPr>
  </w:style>
  <w:style w:type="paragraph" w:customStyle="1" w:styleId="af6">
    <w:name w:val="四级条标题"/>
    <w:basedOn w:val="af5"/>
    <w:next w:val="affffffffffff0"/>
    <w:qFormat/>
    <w:pPr>
      <w:numPr>
        <w:ilvl w:val="4"/>
      </w:numPr>
      <w:outlineLvl w:val="5"/>
    </w:pPr>
  </w:style>
  <w:style w:type="paragraph" w:customStyle="1" w:styleId="af7">
    <w:name w:val="五级条标题"/>
    <w:basedOn w:val="af6"/>
    <w:next w:val="affffffffffff0"/>
    <w:qFormat/>
    <w:pPr>
      <w:numPr>
        <w:ilvl w:val="5"/>
      </w:numPr>
      <w:outlineLvl w:val="6"/>
    </w:pPr>
  </w:style>
  <w:style w:type="character" w:customStyle="1" w:styleId="CharChar">
    <w:name w:val="段 Char Char"/>
    <w:qFormat/>
    <w:rPr>
      <w:rFonts w:ascii="宋体"/>
      <w:sz w:val="21"/>
      <w:lang w:val="en-US" w:eastAsia="zh-CN" w:bidi="ar-SA"/>
    </w:rPr>
  </w:style>
  <w:style w:type="paragraph" w:customStyle="1" w:styleId="12">
    <w:name w:val="修订1"/>
    <w:hidden/>
    <w:uiPriority w:val="99"/>
    <w:semiHidden/>
    <w:qFormat/>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ECFF88CF7BA47E5848F0264D4458585"/>
        <w:category>
          <w:name w:val="常规"/>
          <w:gallery w:val="placeholder"/>
        </w:category>
        <w:types>
          <w:type w:val="bbPlcHdr"/>
        </w:types>
        <w:behaviors>
          <w:behavior w:val="content"/>
        </w:behaviors>
        <w:guid w:val="{0DC3A4F3-B133-41DF-A971-7161B50C95BB}"/>
      </w:docPartPr>
      <w:docPartBody>
        <w:p w:rsidR="00256487" w:rsidRDefault="00000000">
          <w:pPr>
            <w:pStyle w:val="0ECFF88CF7BA47E5848F0264D4458585"/>
            <w:rPr>
              <w:rFonts w:hint="eastAsia"/>
            </w:rPr>
          </w:pPr>
          <w:r>
            <w:rPr>
              <w:rStyle w:val="a3"/>
              <w:rFonts w:hint="eastAsia"/>
            </w:rPr>
            <w:t>单击或点击此处输入文字。</w:t>
          </w:r>
        </w:p>
      </w:docPartBody>
    </w:docPart>
    <w:docPart>
      <w:docPartPr>
        <w:name w:val="67CB43059EA04935883D980D5BDFBFF9"/>
        <w:category>
          <w:name w:val="常规"/>
          <w:gallery w:val="placeholder"/>
        </w:category>
        <w:types>
          <w:type w:val="bbPlcHdr"/>
        </w:types>
        <w:behaviors>
          <w:behavior w:val="content"/>
        </w:behaviors>
        <w:guid w:val="{EB1FA040-FDFC-4094-BAD4-EF49993AF085}"/>
      </w:docPartPr>
      <w:docPartBody>
        <w:p w:rsidR="00256487" w:rsidRDefault="00000000">
          <w:pPr>
            <w:pStyle w:val="67CB43059EA04935883D980D5BDFBFF9"/>
            <w:rPr>
              <w:rFonts w:hint="eastAsia"/>
            </w:rPr>
          </w:pPr>
          <w:r>
            <w:rPr>
              <w:rStyle w:val="a3"/>
              <w:rFonts w:hint="eastAsia"/>
            </w:rPr>
            <w:t>选择一项。</w:t>
          </w:r>
        </w:p>
      </w:docPartBody>
    </w:docPart>
    <w:docPart>
      <w:docPartPr>
        <w:name w:val="73246958D52347C9A32DF67640832619"/>
        <w:category>
          <w:name w:val="常规"/>
          <w:gallery w:val="placeholder"/>
        </w:category>
        <w:types>
          <w:type w:val="bbPlcHdr"/>
        </w:types>
        <w:behaviors>
          <w:behavior w:val="content"/>
        </w:behaviors>
        <w:guid w:val="{B1532980-576D-4172-97CD-4ACFDF5D7A1B}"/>
      </w:docPartPr>
      <w:docPartBody>
        <w:p w:rsidR="00256487" w:rsidRDefault="00000000">
          <w:pPr>
            <w:pStyle w:val="73246958D52347C9A32DF67640832619"/>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403"/>
    <w:rsid w:val="0005611D"/>
    <w:rsid w:val="000F3577"/>
    <w:rsid w:val="00144050"/>
    <w:rsid w:val="00192873"/>
    <w:rsid w:val="001A7B34"/>
    <w:rsid w:val="00256487"/>
    <w:rsid w:val="00331F9A"/>
    <w:rsid w:val="003848E4"/>
    <w:rsid w:val="003B38A4"/>
    <w:rsid w:val="00414403"/>
    <w:rsid w:val="00463149"/>
    <w:rsid w:val="004E36C3"/>
    <w:rsid w:val="00605F34"/>
    <w:rsid w:val="0062499E"/>
    <w:rsid w:val="007023E4"/>
    <w:rsid w:val="0081400C"/>
    <w:rsid w:val="00873ECE"/>
    <w:rsid w:val="008B4B21"/>
    <w:rsid w:val="00925EDD"/>
    <w:rsid w:val="00994C94"/>
    <w:rsid w:val="00AC0444"/>
    <w:rsid w:val="00AD3DD1"/>
    <w:rsid w:val="00BC6845"/>
    <w:rsid w:val="00C5008E"/>
    <w:rsid w:val="00C6324D"/>
    <w:rsid w:val="00C65857"/>
    <w:rsid w:val="00CB0FE2"/>
    <w:rsid w:val="00DB63FF"/>
    <w:rsid w:val="00DC38D7"/>
    <w:rsid w:val="00DC46C0"/>
    <w:rsid w:val="00DE0BFD"/>
    <w:rsid w:val="00E45221"/>
    <w:rsid w:val="00FA2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ECFF88CF7BA47E5848F0264D4458585">
    <w:name w:val="0ECFF88CF7BA47E5848F0264D4458585"/>
    <w:qFormat/>
    <w:pPr>
      <w:widowControl w:val="0"/>
      <w:jc w:val="both"/>
    </w:pPr>
    <w:rPr>
      <w:kern w:val="2"/>
      <w:sz w:val="21"/>
      <w:szCs w:val="22"/>
    </w:rPr>
  </w:style>
  <w:style w:type="paragraph" w:customStyle="1" w:styleId="67CB43059EA04935883D980D5BDFBFF9">
    <w:name w:val="67CB43059EA04935883D980D5BDFBFF9"/>
    <w:qFormat/>
    <w:pPr>
      <w:widowControl w:val="0"/>
      <w:jc w:val="both"/>
    </w:pPr>
    <w:rPr>
      <w:kern w:val="2"/>
      <w:sz w:val="21"/>
      <w:szCs w:val="22"/>
    </w:rPr>
  </w:style>
  <w:style w:type="paragraph" w:customStyle="1" w:styleId="73246958D52347C9A32DF67640832619">
    <w:name w:val="73246958D52347C9A32DF6764083261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14</TotalTime>
  <Pages>11</Pages>
  <Words>752</Words>
  <Characters>4288</Characters>
  <Application>Microsoft Office Word</Application>
  <DocSecurity>0</DocSecurity>
  <Lines>35</Lines>
  <Paragraphs>10</Paragraphs>
  <ScaleCrop>false</ScaleCrop>
  <Company>PCMI</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jc</dc:creator>
  <dc:description>&lt;config cover="true" show_menu="true" version="1.0.0" doctype="SDKXY"&gt;_x000d_
&lt;/config&gt;</dc:description>
  <cp:lastModifiedBy>Administrator</cp:lastModifiedBy>
  <cp:revision>6</cp:revision>
  <cp:lastPrinted>2024-11-25T01:39:00Z</cp:lastPrinted>
  <dcterms:created xsi:type="dcterms:W3CDTF">2024-11-14T03:06:00Z</dcterms:created>
  <dcterms:modified xsi:type="dcterms:W3CDTF">2024-11-27T02:27:00Z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2052-12.1.0.18912</vt:lpwstr>
  </property>
  <property fmtid="{D5CDD505-2E9C-101B-9397-08002B2CF9AE}" pid="16" name="ICV">
    <vt:lpwstr>533E70D27D594109A1EBC1C26BB46A60_12</vt:lpwstr>
  </property>
</Properties>
</file>