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1BCC" w:rsidRDefault="00E61BCC">
      <w:pPr>
        <w:spacing w:line="360" w:lineRule="auto"/>
        <w:jc w:val="center"/>
        <w:rPr>
          <w:rFonts w:asciiTheme="minorEastAsia" w:hAnsiTheme="minorEastAsia" w:hint="eastAsia"/>
          <w:sz w:val="28"/>
          <w:szCs w:val="28"/>
        </w:rPr>
      </w:pPr>
    </w:p>
    <w:p w:rsidR="0088639C" w:rsidRPr="0088639C" w:rsidRDefault="00000000">
      <w:pPr>
        <w:spacing w:line="360" w:lineRule="auto"/>
        <w:jc w:val="center"/>
        <w:rPr>
          <w:rFonts w:asciiTheme="minorEastAsia" w:hAnsiTheme="minorEastAsia"/>
          <w:b/>
          <w:bCs/>
          <w:sz w:val="36"/>
          <w:szCs w:val="36"/>
        </w:rPr>
      </w:pPr>
      <w:r w:rsidRPr="0088639C">
        <w:rPr>
          <w:rFonts w:asciiTheme="minorEastAsia" w:hAnsiTheme="minorEastAsia" w:hint="eastAsia"/>
          <w:b/>
          <w:bCs/>
          <w:sz w:val="36"/>
          <w:szCs w:val="36"/>
        </w:rPr>
        <w:t>连云港市石膏板产品质量市级监督抽查</w:t>
      </w:r>
    </w:p>
    <w:p w:rsidR="00E61BCC" w:rsidRPr="0088639C" w:rsidRDefault="00000000">
      <w:pPr>
        <w:spacing w:line="360" w:lineRule="auto"/>
        <w:jc w:val="center"/>
        <w:rPr>
          <w:rFonts w:asciiTheme="minorEastAsia" w:hAnsiTheme="minorEastAsia" w:hint="eastAsia"/>
          <w:b/>
          <w:bCs/>
          <w:sz w:val="36"/>
          <w:szCs w:val="36"/>
        </w:rPr>
      </w:pPr>
      <w:r w:rsidRPr="0088639C">
        <w:rPr>
          <w:rFonts w:asciiTheme="minorEastAsia" w:hAnsiTheme="minorEastAsia" w:hint="eastAsia"/>
          <w:b/>
          <w:bCs/>
          <w:sz w:val="36"/>
          <w:szCs w:val="36"/>
        </w:rPr>
        <w:t>实</w:t>
      </w:r>
      <w:r w:rsidR="0088639C" w:rsidRPr="0088639C">
        <w:rPr>
          <w:rFonts w:asciiTheme="minorEastAsia" w:hAnsiTheme="minorEastAsia" w:hint="eastAsia"/>
          <w:b/>
          <w:bCs/>
          <w:sz w:val="36"/>
          <w:szCs w:val="36"/>
        </w:rPr>
        <w:t xml:space="preserve"> </w:t>
      </w:r>
      <w:r w:rsidRPr="0088639C">
        <w:rPr>
          <w:rFonts w:asciiTheme="minorEastAsia" w:hAnsiTheme="minorEastAsia" w:hint="eastAsia"/>
          <w:b/>
          <w:bCs/>
          <w:sz w:val="36"/>
          <w:szCs w:val="36"/>
        </w:rPr>
        <w:t>施</w:t>
      </w:r>
      <w:r w:rsidR="0088639C" w:rsidRPr="0088639C">
        <w:rPr>
          <w:rFonts w:asciiTheme="minorEastAsia" w:hAnsiTheme="minorEastAsia" w:hint="eastAsia"/>
          <w:b/>
          <w:bCs/>
          <w:sz w:val="36"/>
          <w:szCs w:val="36"/>
        </w:rPr>
        <w:t xml:space="preserve"> </w:t>
      </w:r>
      <w:r w:rsidRPr="0088639C">
        <w:rPr>
          <w:rFonts w:asciiTheme="minorEastAsia" w:hAnsiTheme="minorEastAsia" w:hint="eastAsia"/>
          <w:b/>
          <w:bCs/>
          <w:sz w:val="36"/>
          <w:szCs w:val="36"/>
        </w:rPr>
        <w:t>细</w:t>
      </w:r>
      <w:r w:rsidR="0088639C" w:rsidRPr="0088639C">
        <w:rPr>
          <w:rFonts w:asciiTheme="minorEastAsia" w:hAnsiTheme="minorEastAsia" w:hint="eastAsia"/>
          <w:b/>
          <w:bCs/>
          <w:sz w:val="36"/>
          <w:szCs w:val="36"/>
        </w:rPr>
        <w:t xml:space="preserve"> </w:t>
      </w:r>
      <w:r w:rsidRPr="0088639C">
        <w:rPr>
          <w:rFonts w:asciiTheme="minorEastAsia" w:hAnsiTheme="minorEastAsia" w:hint="eastAsia"/>
          <w:b/>
          <w:bCs/>
          <w:sz w:val="36"/>
          <w:szCs w:val="36"/>
        </w:rPr>
        <w:t>则</w:t>
      </w:r>
    </w:p>
    <w:p w:rsidR="00E61BCC" w:rsidRDefault="00000000">
      <w:pPr>
        <w:spacing w:line="360" w:lineRule="auto"/>
        <w:rPr>
          <w:rFonts w:asciiTheme="minorEastAsia" w:hAnsiTheme="minorEastAsia" w:hint="eastAsia"/>
          <w:sz w:val="28"/>
          <w:szCs w:val="28"/>
        </w:rPr>
      </w:pPr>
      <w:r>
        <w:rPr>
          <w:rFonts w:asciiTheme="minorEastAsia" w:hAnsiTheme="minorEastAsia" w:hint="eastAsia"/>
          <w:sz w:val="28"/>
          <w:szCs w:val="28"/>
        </w:rPr>
        <w:t>1.范围</w:t>
      </w:r>
    </w:p>
    <w:p w:rsidR="00E61BCC" w:rsidRDefault="00000000">
      <w:pPr>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t>本细则适用于连云港市市场监督管理局组织实施的石膏板产品质量流通领域的监督抽查。</w:t>
      </w:r>
    </w:p>
    <w:p w:rsidR="00E61BCC" w:rsidRDefault="00000000">
      <w:pPr>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t>本细则内容包括产品类别、检验依据、抽样、样品确认、检验要求、判定原则、检验结果确认、异议处理。</w:t>
      </w:r>
    </w:p>
    <w:p w:rsidR="00E61BCC" w:rsidRDefault="00000000">
      <w:pPr>
        <w:spacing w:line="360" w:lineRule="auto"/>
        <w:rPr>
          <w:rFonts w:asciiTheme="minorEastAsia" w:hAnsiTheme="minorEastAsia" w:hint="eastAsia"/>
          <w:sz w:val="28"/>
          <w:szCs w:val="28"/>
        </w:rPr>
      </w:pPr>
      <w:r>
        <w:rPr>
          <w:rFonts w:asciiTheme="minorEastAsia" w:hAnsiTheme="minorEastAsia"/>
          <w:sz w:val="28"/>
          <w:szCs w:val="28"/>
        </w:rPr>
        <w:t>2.</w:t>
      </w:r>
      <w:r>
        <w:rPr>
          <w:rFonts w:asciiTheme="minorEastAsia" w:hAnsiTheme="minorEastAsia" w:hint="eastAsia"/>
          <w:sz w:val="28"/>
          <w:szCs w:val="28"/>
        </w:rPr>
        <w:t>产品类别</w:t>
      </w:r>
    </w:p>
    <w:p w:rsidR="00E61BCC" w:rsidRDefault="00000000">
      <w:pPr>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t>纸面石膏板。</w:t>
      </w:r>
    </w:p>
    <w:p w:rsidR="00E61BCC" w:rsidRDefault="00000000">
      <w:pPr>
        <w:numPr>
          <w:ilvl w:val="0"/>
          <w:numId w:val="2"/>
        </w:numPr>
        <w:spacing w:line="360" w:lineRule="auto"/>
        <w:rPr>
          <w:rFonts w:asciiTheme="minorEastAsia" w:hAnsiTheme="minorEastAsia" w:hint="eastAsia"/>
          <w:sz w:val="28"/>
          <w:szCs w:val="28"/>
        </w:rPr>
      </w:pPr>
      <w:r>
        <w:rPr>
          <w:rFonts w:asciiTheme="minorEastAsia" w:hAnsiTheme="minorEastAsia" w:hint="eastAsia"/>
          <w:sz w:val="28"/>
          <w:szCs w:val="28"/>
        </w:rPr>
        <w:t>检验依据</w:t>
      </w:r>
    </w:p>
    <w:p w:rsidR="00E61BCC" w:rsidRDefault="00000000">
      <w:pPr>
        <w:widowControl/>
        <w:ind w:firstLineChars="200" w:firstLine="560"/>
        <w:jc w:val="left"/>
      </w:pPr>
      <w:r>
        <w:rPr>
          <w:rFonts w:asciiTheme="minorEastAsia" w:hAnsiTheme="minorEastAsia" w:hint="eastAsia"/>
          <w:sz w:val="28"/>
          <w:szCs w:val="28"/>
        </w:rPr>
        <w:t>凡是注日期的文件,其随后所有的修改单(不包括勘误的内容)或修订版不适用于本规范。凡是不注日期的文件,其最新版本适用于本规范</w:t>
      </w:r>
      <w:r>
        <w:rPr>
          <w:rFonts w:ascii="宋体" w:eastAsia="宋体" w:hAnsi="宋体" w:cs="宋体" w:hint="eastAsia"/>
          <w:kern w:val="0"/>
          <w:sz w:val="24"/>
          <w:szCs w:val="24"/>
          <w:lang w:bidi="ar"/>
        </w:rPr>
        <w:t>。</w:t>
      </w:r>
    </w:p>
    <w:p w:rsidR="00E61BCC" w:rsidRDefault="00000000">
      <w:pPr>
        <w:widowControl/>
        <w:ind w:firstLineChars="200" w:firstLine="560"/>
        <w:jc w:val="left"/>
        <w:rPr>
          <w:rFonts w:asciiTheme="minorEastAsia" w:hAnsiTheme="minorEastAsia" w:hint="eastAsia"/>
          <w:sz w:val="28"/>
          <w:szCs w:val="28"/>
        </w:rPr>
      </w:pPr>
      <w:r>
        <w:rPr>
          <w:rFonts w:asciiTheme="minorEastAsia" w:hAnsiTheme="minorEastAsia" w:hint="eastAsia"/>
          <w:sz w:val="28"/>
          <w:szCs w:val="28"/>
        </w:rPr>
        <w:t>GB/T 9775  纸面石膏板</w:t>
      </w:r>
    </w:p>
    <w:p w:rsidR="00E61BCC" w:rsidRDefault="00000000">
      <w:pPr>
        <w:widowControl/>
        <w:ind w:firstLineChars="200" w:firstLine="560"/>
        <w:jc w:val="left"/>
        <w:rPr>
          <w:rFonts w:asciiTheme="minorEastAsia" w:hAnsiTheme="minorEastAsia" w:hint="eastAsia"/>
          <w:sz w:val="28"/>
          <w:szCs w:val="28"/>
        </w:rPr>
      </w:pPr>
      <w:r>
        <w:rPr>
          <w:rFonts w:asciiTheme="minorEastAsia" w:hAnsiTheme="minorEastAsia" w:hint="eastAsia"/>
          <w:sz w:val="28"/>
          <w:szCs w:val="28"/>
        </w:rPr>
        <w:t>相关的法律法规、部门规章和规范；经备案现行有效的企业标准及产品明示质量要求。</w:t>
      </w:r>
    </w:p>
    <w:p w:rsidR="00E61BCC" w:rsidRDefault="00000000">
      <w:pPr>
        <w:widowControl/>
        <w:jc w:val="left"/>
        <w:rPr>
          <w:rFonts w:asciiTheme="minorEastAsia" w:hAnsiTheme="minorEastAsia" w:hint="eastAsia"/>
          <w:sz w:val="28"/>
          <w:szCs w:val="28"/>
        </w:rPr>
      </w:pPr>
      <w:r>
        <w:rPr>
          <w:rFonts w:asciiTheme="minorEastAsia" w:hAnsiTheme="minorEastAsia" w:hint="eastAsia"/>
          <w:sz w:val="28"/>
          <w:szCs w:val="28"/>
        </w:rPr>
        <w:t>4</w:t>
      </w:r>
      <w:r>
        <w:rPr>
          <w:rFonts w:asciiTheme="minorEastAsia" w:hAnsiTheme="minorEastAsia"/>
          <w:sz w:val="28"/>
          <w:szCs w:val="28"/>
        </w:rPr>
        <w:t xml:space="preserve">. </w:t>
      </w:r>
      <w:r>
        <w:rPr>
          <w:rFonts w:asciiTheme="minorEastAsia" w:hAnsiTheme="minorEastAsia" w:hint="eastAsia"/>
          <w:sz w:val="28"/>
          <w:szCs w:val="28"/>
        </w:rPr>
        <w:t>抽样</w:t>
      </w:r>
    </w:p>
    <w:p w:rsidR="00E61BCC" w:rsidRDefault="00000000">
      <w:pPr>
        <w:spacing w:line="360" w:lineRule="auto"/>
        <w:rPr>
          <w:rFonts w:asciiTheme="minorEastAsia" w:hAnsiTheme="minorEastAsia" w:hint="eastAsia"/>
          <w:sz w:val="28"/>
          <w:szCs w:val="28"/>
        </w:rPr>
      </w:pPr>
      <w:r>
        <w:rPr>
          <w:rFonts w:asciiTheme="minorEastAsia" w:hAnsiTheme="minorEastAsia" w:hint="eastAsia"/>
          <w:sz w:val="28"/>
          <w:szCs w:val="28"/>
        </w:rPr>
        <w:t>4</w:t>
      </w:r>
      <w:r>
        <w:rPr>
          <w:rFonts w:asciiTheme="minorEastAsia" w:hAnsiTheme="minorEastAsia"/>
          <w:sz w:val="28"/>
          <w:szCs w:val="28"/>
        </w:rPr>
        <w:t>.1</w:t>
      </w:r>
      <w:r>
        <w:rPr>
          <w:rFonts w:asciiTheme="minorEastAsia" w:hAnsiTheme="minorEastAsia" w:hint="eastAsia"/>
          <w:sz w:val="28"/>
          <w:szCs w:val="28"/>
        </w:rPr>
        <w:t>抽样型号或规格</w:t>
      </w:r>
    </w:p>
    <w:p w:rsidR="00E61BCC" w:rsidRDefault="00000000">
      <w:pPr>
        <w:spacing w:before="71" w:line="183" w:lineRule="auto"/>
        <w:ind w:firstLineChars="200" w:firstLine="560"/>
        <w:rPr>
          <w:rFonts w:asciiTheme="minorEastAsia" w:hAnsiTheme="minorEastAsia" w:hint="eastAsia"/>
          <w:sz w:val="28"/>
          <w:szCs w:val="28"/>
        </w:rPr>
      </w:pPr>
      <w:r>
        <w:rPr>
          <w:rFonts w:asciiTheme="minorEastAsia" w:hAnsiTheme="minorEastAsia" w:hint="eastAsia"/>
          <w:sz w:val="28"/>
          <w:szCs w:val="28"/>
        </w:rPr>
        <w:t>抽取样品应为同类别、同型号规格、同批次的产品 。</w:t>
      </w:r>
    </w:p>
    <w:p w:rsidR="00E61BCC" w:rsidRDefault="00000000">
      <w:pPr>
        <w:spacing w:line="360" w:lineRule="auto"/>
        <w:rPr>
          <w:rFonts w:asciiTheme="minorEastAsia" w:hAnsiTheme="minorEastAsia" w:hint="eastAsia"/>
          <w:sz w:val="28"/>
          <w:szCs w:val="28"/>
        </w:rPr>
      </w:pPr>
      <w:r>
        <w:rPr>
          <w:rFonts w:asciiTheme="minorEastAsia" w:hAnsiTheme="minorEastAsia" w:hint="eastAsia"/>
          <w:sz w:val="28"/>
          <w:szCs w:val="28"/>
        </w:rPr>
        <w:t>4.2抽样方法、数量及相关要求</w:t>
      </w:r>
    </w:p>
    <w:p w:rsidR="00E61BCC" w:rsidRDefault="00000000">
      <w:pPr>
        <w:spacing w:line="360" w:lineRule="auto"/>
        <w:rPr>
          <w:rFonts w:asciiTheme="minorEastAsia" w:hAnsiTheme="minorEastAsia" w:hint="eastAsia"/>
          <w:sz w:val="28"/>
          <w:szCs w:val="28"/>
        </w:rPr>
      </w:pPr>
      <w:r>
        <w:rPr>
          <w:rFonts w:asciiTheme="minorEastAsia" w:hAnsiTheme="minorEastAsia" w:hint="eastAsia"/>
          <w:sz w:val="28"/>
          <w:szCs w:val="28"/>
        </w:rPr>
        <w:t>4.2.1在企业的成品库内或市场待销产品中随机抽取有产品质量检验</w:t>
      </w:r>
      <w:r>
        <w:rPr>
          <w:rFonts w:asciiTheme="minorEastAsia" w:hAnsiTheme="minorEastAsia" w:hint="eastAsia"/>
          <w:sz w:val="28"/>
          <w:szCs w:val="28"/>
        </w:rPr>
        <w:lastRenderedPageBreak/>
        <w:t>合格证明或者以其他形式表明合格的、近期生产的产品。</w:t>
      </w:r>
    </w:p>
    <w:p w:rsidR="00E61BCC" w:rsidRDefault="00E61BCC">
      <w:pPr>
        <w:spacing w:line="360" w:lineRule="auto"/>
        <w:rPr>
          <w:rFonts w:asciiTheme="minorEastAsia" w:hAnsiTheme="minorEastAsia" w:hint="eastAsia"/>
          <w:sz w:val="28"/>
          <w:szCs w:val="28"/>
        </w:rPr>
      </w:pPr>
    </w:p>
    <w:p w:rsidR="00E61BCC" w:rsidRDefault="00000000">
      <w:pPr>
        <w:spacing w:line="360" w:lineRule="auto"/>
        <w:rPr>
          <w:rFonts w:asciiTheme="minorEastAsia" w:hAnsiTheme="minorEastAsia" w:hint="eastAsia"/>
          <w:sz w:val="28"/>
          <w:szCs w:val="28"/>
        </w:rPr>
      </w:pPr>
      <w:r>
        <w:rPr>
          <w:rFonts w:asciiTheme="minorEastAsia" w:hAnsiTheme="minorEastAsia" w:hint="eastAsia"/>
          <w:sz w:val="28"/>
          <w:szCs w:val="28"/>
        </w:rPr>
        <w:t>4.2.2采用简单随机抽样方法，随机数使用随机数表、骰子或扑克牌等方法产生。所抽取产品的保质期应当能充分满足检验工作的进行。</w:t>
      </w:r>
    </w:p>
    <w:p w:rsidR="00E61BCC" w:rsidRDefault="00000000">
      <w:pPr>
        <w:spacing w:line="360" w:lineRule="auto"/>
        <w:rPr>
          <w:rFonts w:asciiTheme="minorEastAsia" w:hAnsiTheme="minorEastAsia" w:hint="eastAsia"/>
          <w:sz w:val="28"/>
          <w:szCs w:val="28"/>
        </w:rPr>
      </w:pPr>
      <w:r>
        <w:rPr>
          <w:rFonts w:asciiTheme="minorEastAsia" w:hAnsiTheme="minorEastAsia" w:hint="eastAsia"/>
          <w:sz w:val="28"/>
          <w:szCs w:val="28"/>
        </w:rPr>
        <w:t>4.2.3 在生产领域抽样时,每检验批以2500张为一批，如不足2500张，同一规格、型号的产品,抽样基数不少于100 张。</w:t>
      </w:r>
    </w:p>
    <w:p w:rsidR="00E61BCC" w:rsidRDefault="00000000">
      <w:pPr>
        <w:spacing w:line="360" w:lineRule="auto"/>
        <w:rPr>
          <w:rFonts w:asciiTheme="minorEastAsia" w:hAnsiTheme="minorEastAsia" w:hint="eastAsia"/>
          <w:sz w:val="28"/>
          <w:szCs w:val="28"/>
        </w:rPr>
      </w:pPr>
      <w:r>
        <w:rPr>
          <w:rFonts w:asciiTheme="minorEastAsia" w:hAnsiTheme="minorEastAsia" w:hint="eastAsia"/>
          <w:sz w:val="28"/>
          <w:szCs w:val="28"/>
        </w:rPr>
        <w:t>在流通领域抽样时,抽样基数满足抽样数量即可。</w:t>
      </w:r>
    </w:p>
    <w:p w:rsidR="00E61BCC" w:rsidRDefault="00000000">
      <w:pPr>
        <w:spacing w:line="360" w:lineRule="auto"/>
        <w:rPr>
          <w:rFonts w:ascii="Times New Roman" w:eastAsia="宋体" w:hAnsi="Times New Roman" w:cs="Times New Roman"/>
        </w:rPr>
      </w:pPr>
      <w:r>
        <w:rPr>
          <w:rFonts w:asciiTheme="minorEastAsia" w:hAnsiTheme="minorEastAsia" w:hint="eastAsia"/>
          <w:sz w:val="28"/>
          <w:szCs w:val="28"/>
        </w:rPr>
        <w:t>4.2.4从同-规格、型号的产品中随机抽取10张,5张作为检验样品,5张作为备用样品。</w:t>
      </w:r>
    </w:p>
    <w:p w:rsidR="00E61BCC" w:rsidRDefault="00000000">
      <w:pPr>
        <w:spacing w:line="360" w:lineRule="auto"/>
        <w:rPr>
          <w:rFonts w:asciiTheme="minorEastAsia" w:hAnsiTheme="minorEastAsia" w:hint="eastAsia"/>
          <w:sz w:val="28"/>
          <w:szCs w:val="28"/>
        </w:rPr>
      </w:pPr>
      <w:r>
        <w:rPr>
          <w:rFonts w:asciiTheme="minorEastAsia" w:hAnsiTheme="minorEastAsia" w:hint="eastAsia"/>
          <w:sz w:val="28"/>
          <w:szCs w:val="28"/>
        </w:rPr>
        <w:t>4.2.4检验样品及备用样品应分别封样。抽取样品应有防潮、防撞的措施。</w:t>
      </w:r>
    </w:p>
    <w:p w:rsidR="00E61BCC" w:rsidRDefault="00000000">
      <w:pPr>
        <w:spacing w:line="360" w:lineRule="auto"/>
        <w:rPr>
          <w:rFonts w:asciiTheme="minorEastAsia" w:hAnsiTheme="minorEastAsia" w:hint="eastAsia"/>
          <w:sz w:val="28"/>
          <w:szCs w:val="28"/>
        </w:rPr>
      </w:pPr>
      <w:r>
        <w:rPr>
          <w:rFonts w:asciiTheme="minorEastAsia" w:hAnsiTheme="minorEastAsia" w:hint="eastAsia"/>
          <w:sz w:val="28"/>
          <w:szCs w:val="28"/>
        </w:rPr>
        <w:t>4</w:t>
      </w:r>
      <w:r>
        <w:rPr>
          <w:rFonts w:asciiTheme="minorEastAsia" w:hAnsiTheme="minorEastAsia"/>
          <w:sz w:val="28"/>
          <w:szCs w:val="28"/>
        </w:rPr>
        <w:t>.</w:t>
      </w:r>
      <w:r>
        <w:rPr>
          <w:rFonts w:asciiTheme="minorEastAsia" w:hAnsiTheme="minorEastAsia" w:hint="eastAsia"/>
          <w:sz w:val="28"/>
          <w:szCs w:val="28"/>
        </w:rPr>
        <w:t>3抽样单</w:t>
      </w:r>
    </w:p>
    <w:p w:rsidR="00E61BCC" w:rsidRDefault="00000000">
      <w:pPr>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t>应按《江苏省级产品质量监督抽查工作规范》有关规定填写抽样单，并记录被抽查产品及企业相关信息。同时记录被抽查企业上一年度生产的石膏板产品销售总额,以万元计；若企业上一年度未生产，则记录本年度实际销售额，并加以注明。</w:t>
      </w:r>
    </w:p>
    <w:p w:rsidR="00E61BCC" w:rsidRDefault="00000000">
      <w:pPr>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t>注：记录的“产品销售总额”中的产品是指计划抽查的产品，如计划抽查“石膏板”，应记录被抽查企业的所有强度等级的石膏板年销售总额。</w:t>
      </w:r>
    </w:p>
    <w:p w:rsidR="00E61BCC" w:rsidRDefault="00000000">
      <w:pPr>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t>产品规定有明示质量指标时,应在抽样单上注明。若产品明示的执行标准为经备案的现行有效的企业标准，则视其企业标准为明示质量指标，并要求企业提供其现行有效的企业标准文本。</w:t>
      </w:r>
    </w:p>
    <w:p w:rsidR="00E61BCC" w:rsidRDefault="00000000">
      <w:pPr>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lastRenderedPageBreak/>
        <w:t>对于产品检验所需的样品技术参数等信息，如企业标准、记录明示指标的说明书、包装纸或合格证等，需要被抽查企业提供的，应在抽样现场获取并经企业签字盖章确认。</w:t>
      </w:r>
    </w:p>
    <w:p w:rsidR="00E61BCC" w:rsidRDefault="00000000">
      <w:pPr>
        <w:spacing w:line="360" w:lineRule="auto"/>
        <w:rPr>
          <w:rFonts w:asciiTheme="minorEastAsia" w:hAnsiTheme="minorEastAsia" w:hint="eastAsia"/>
          <w:sz w:val="28"/>
          <w:szCs w:val="28"/>
        </w:rPr>
      </w:pPr>
      <w:r>
        <w:rPr>
          <w:rFonts w:asciiTheme="minorEastAsia" w:hAnsiTheme="minorEastAsia" w:hint="eastAsia"/>
          <w:sz w:val="28"/>
          <w:szCs w:val="28"/>
        </w:rPr>
        <w:t>4.4样品运输与保存</w:t>
      </w:r>
    </w:p>
    <w:p w:rsidR="00014AC7" w:rsidRPr="00014AC7" w:rsidRDefault="00014AC7" w:rsidP="00014AC7">
      <w:pPr>
        <w:spacing w:line="360" w:lineRule="auto"/>
        <w:ind w:firstLineChars="200" w:firstLine="560"/>
        <w:rPr>
          <w:rFonts w:asciiTheme="minorEastAsia" w:hAnsiTheme="minorEastAsia" w:hint="eastAsia"/>
          <w:sz w:val="28"/>
          <w:szCs w:val="28"/>
        </w:rPr>
      </w:pPr>
      <w:bookmarkStart w:id="0" w:name="_Hlk194396609"/>
      <w:r w:rsidRPr="00014AC7">
        <w:rPr>
          <w:rFonts w:asciiTheme="minorEastAsia" w:hAnsiTheme="minorEastAsia"/>
          <w:sz w:val="28"/>
          <w:szCs w:val="28"/>
        </w:rPr>
        <w:t>检验样品和备用样品均由检验机构带回，并存放在干燥、防潮的地方。</w:t>
      </w:r>
    </w:p>
    <w:p w:rsidR="00014AC7" w:rsidRPr="00014AC7" w:rsidRDefault="00014AC7" w:rsidP="00014AC7">
      <w:pPr>
        <w:spacing w:line="360" w:lineRule="auto"/>
        <w:ind w:firstLineChars="200" w:firstLine="560"/>
        <w:rPr>
          <w:rFonts w:asciiTheme="minorEastAsia" w:hAnsiTheme="minorEastAsia" w:hint="eastAsia"/>
          <w:sz w:val="28"/>
          <w:szCs w:val="28"/>
        </w:rPr>
      </w:pPr>
      <w:r w:rsidRPr="00014AC7">
        <w:rPr>
          <w:rFonts w:asciiTheme="minorEastAsia" w:hAnsiTheme="minorEastAsia" w:hint="eastAsia"/>
          <w:sz w:val="28"/>
          <w:szCs w:val="28"/>
        </w:rPr>
        <w:t>检验及备用样品运达承检机构</w:t>
      </w:r>
      <w:r>
        <w:rPr>
          <w:rFonts w:asciiTheme="minorEastAsia" w:hAnsiTheme="minorEastAsia" w:hint="eastAsia"/>
          <w:sz w:val="28"/>
          <w:szCs w:val="28"/>
        </w:rPr>
        <w:t>前</w:t>
      </w:r>
      <w:r w:rsidRPr="00014AC7">
        <w:rPr>
          <w:rFonts w:asciiTheme="minorEastAsia" w:hAnsiTheme="minorEastAsia" w:hint="eastAsia"/>
          <w:sz w:val="28"/>
          <w:szCs w:val="28"/>
        </w:rPr>
        <w:t>应规范地保存于受检经销方。受检经销方应妥善保管封存样品并保障其完好，不得更换、隐匿、损毁和私自处理。</w:t>
      </w:r>
    </w:p>
    <w:p w:rsidR="00E61BCC" w:rsidRDefault="00014AC7" w:rsidP="00014AC7">
      <w:pPr>
        <w:spacing w:line="360" w:lineRule="auto"/>
        <w:ind w:firstLineChars="200" w:firstLine="560"/>
        <w:rPr>
          <w:rFonts w:asciiTheme="minorEastAsia" w:hAnsiTheme="minorEastAsia" w:hint="eastAsia"/>
          <w:sz w:val="28"/>
          <w:szCs w:val="28"/>
        </w:rPr>
      </w:pPr>
      <w:r w:rsidRPr="00014AC7">
        <w:rPr>
          <w:rFonts w:asciiTheme="minorEastAsia" w:hAnsiTheme="minorEastAsia" w:hint="eastAsia"/>
          <w:sz w:val="28"/>
          <w:szCs w:val="28"/>
        </w:rPr>
        <w:t xml:space="preserve"> 检验及备用样品运达承检机构后，由负责样品接收的人员和抽样人共同打开包装检查，记录样品签封的真实性、封条的完整性以及外观状态等情况，确认样品与抽样单中的记录是否相符，对检测和备用样品分别</w:t>
      </w:r>
      <w:proofErr w:type="gramStart"/>
      <w:r w:rsidRPr="00014AC7">
        <w:rPr>
          <w:rFonts w:asciiTheme="minorEastAsia" w:hAnsiTheme="minorEastAsia" w:hint="eastAsia"/>
          <w:sz w:val="28"/>
          <w:szCs w:val="28"/>
        </w:rPr>
        <w:t>作出</w:t>
      </w:r>
      <w:proofErr w:type="gramEnd"/>
      <w:r w:rsidRPr="00014AC7">
        <w:rPr>
          <w:rFonts w:asciiTheme="minorEastAsia" w:hAnsiTheme="minorEastAsia" w:hint="eastAsia"/>
          <w:sz w:val="28"/>
          <w:szCs w:val="28"/>
        </w:rPr>
        <w:t>唯一标识后入库保存</w:t>
      </w:r>
      <w:bookmarkEnd w:id="0"/>
      <w:r>
        <w:rPr>
          <w:rFonts w:asciiTheme="minorEastAsia" w:hAnsiTheme="minorEastAsia" w:hint="eastAsia"/>
          <w:sz w:val="28"/>
          <w:szCs w:val="28"/>
        </w:rPr>
        <w:t>。</w:t>
      </w:r>
    </w:p>
    <w:p w:rsidR="00E61BCC" w:rsidRDefault="00000000">
      <w:pPr>
        <w:spacing w:line="360" w:lineRule="auto"/>
        <w:rPr>
          <w:rFonts w:asciiTheme="minorEastAsia" w:hAnsiTheme="minorEastAsia" w:hint="eastAsia"/>
          <w:sz w:val="28"/>
          <w:szCs w:val="28"/>
        </w:rPr>
      </w:pPr>
      <w:r>
        <w:rPr>
          <w:rFonts w:asciiTheme="minorEastAsia" w:hAnsiTheme="minorEastAsia" w:hint="eastAsia"/>
          <w:sz w:val="28"/>
          <w:szCs w:val="28"/>
        </w:rPr>
        <w:t>5.样品确认</w:t>
      </w:r>
    </w:p>
    <w:p w:rsidR="00E61BCC" w:rsidRDefault="00000000">
      <w:pPr>
        <w:spacing w:line="560" w:lineRule="exact"/>
        <w:ind w:firstLineChars="200" w:firstLine="560"/>
        <w:rPr>
          <w:rFonts w:asciiTheme="minorEastAsia" w:hAnsiTheme="minorEastAsia" w:hint="eastAsia"/>
          <w:sz w:val="28"/>
          <w:szCs w:val="28"/>
        </w:rPr>
      </w:pPr>
      <w:r>
        <w:rPr>
          <w:rFonts w:asciiTheme="minorEastAsia" w:hAnsiTheme="minorEastAsia" w:hint="eastAsia"/>
          <w:sz w:val="28"/>
          <w:szCs w:val="28"/>
        </w:rPr>
        <w:t>实体店抽取样品后，承检机构应当通过邮政特快专递，将样品确认文书送达样品标注的生产企业进行样品确认。生产企业应当在签收样品确认文书之日起7日内，通过传真、挂号信、特快专递等方式向承检机构反馈样品确认结果的书面材料。</w:t>
      </w:r>
      <w:r>
        <w:rPr>
          <w:rFonts w:asciiTheme="minorEastAsia" w:hAnsiTheme="minorEastAsia" w:cs="宋体" w:hint="eastAsia"/>
          <w:snapToGrid w:val="0"/>
          <w:spacing w:val="2"/>
          <w:sz w:val="28"/>
          <w:szCs w:val="28"/>
        </w:rPr>
        <w:t>逾期未书面反馈或者拒绝签收</w:t>
      </w:r>
      <w:r>
        <w:rPr>
          <w:rFonts w:asciiTheme="minorEastAsia" w:hAnsiTheme="minorEastAsia" w:hint="eastAsia"/>
          <w:sz w:val="28"/>
          <w:szCs w:val="28"/>
        </w:rPr>
        <w:t>的，视同认可样品为生产企业产品。</w:t>
      </w:r>
    </w:p>
    <w:p w:rsidR="00E61BCC" w:rsidRDefault="00000000">
      <w:pPr>
        <w:spacing w:line="360" w:lineRule="auto"/>
        <w:rPr>
          <w:rFonts w:asciiTheme="minorEastAsia" w:hAnsiTheme="minorEastAsia" w:hint="eastAsia"/>
          <w:sz w:val="28"/>
          <w:szCs w:val="28"/>
        </w:rPr>
      </w:pPr>
      <w:r>
        <w:rPr>
          <w:rFonts w:asciiTheme="minorEastAsia" w:hAnsiTheme="minorEastAsia" w:hint="eastAsia"/>
          <w:sz w:val="28"/>
          <w:szCs w:val="28"/>
        </w:rPr>
        <w:t>6</w:t>
      </w:r>
      <w:r>
        <w:rPr>
          <w:rFonts w:asciiTheme="minorEastAsia" w:hAnsiTheme="minorEastAsia"/>
          <w:sz w:val="28"/>
          <w:szCs w:val="28"/>
        </w:rPr>
        <w:t xml:space="preserve">. </w:t>
      </w:r>
      <w:r>
        <w:rPr>
          <w:rFonts w:asciiTheme="minorEastAsia" w:hAnsiTheme="minorEastAsia" w:hint="eastAsia"/>
          <w:sz w:val="28"/>
          <w:szCs w:val="28"/>
        </w:rPr>
        <w:t>检验要求</w:t>
      </w:r>
    </w:p>
    <w:p w:rsidR="00E61BCC" w:rsidRDefault="00000000">
      <w:pPr>
        <w:spacing w:line="360" w:lineRule="auto"/>
        <w:rPr>
          <w:rFonts w:asciiTheme="minorEastAsia" w:hAnsiTheme="minorEastAsia" w:hint="eastAsia"/>
          <w:sz w:val="28"/>
          <w:szCs w:val="28"/>
        </w:rPr>
      </w:pPr>
      <w:r>
        <w:rPr>
          <w:rFonts w:asciiTheme="minorEastAsia" w:hAnsiTheme="minorEastAsia" w:hint="eastAsia"/>
          <w:sz w:val="28"/>
          <w:szCs w:val="28"/>
        </w:rPr>
        <w:t>6.1检验项目、方法及依据</w:t>
      </w:r>
    </w:p>
    <w:p w:rsidR="00E61BCC" w:rsidRDefault="00000000">
      <w:pPr>
        <w:snapToGrid w:val="0"/>
        <w:spacing w:line="440" w:lineRule="exact"/>
        <w:jc w:val="center"/>
        <w:rPr>
          <w:rFonts w:ascii="宋体" w:eastAsia="宋体" w:hAnsi="宋体" w:cs="Times New Roman" w:hint="eastAsia"/>
          <w:szCs w:val="21"/>
        </w:rPr>
      </w:pPr>
      <w:r>
        <w:rPr>
          <w:rFonts w:ascii="宋体" w:eastAsia="宋体" w:hAnsi="宋体" w:cs="Times New Roman" w:hint="eastAsia"/>
          <w:szCs w:val="21"/>
        </w:rPr>
        <w:t>表1  检验项目明细及重要程度分类</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1065"/>
        <w:gridCol w:w="1417"/>
        <w:gridCol w:w="1461"/>
        <w:gridCol w:w="2225"/>
        <w:gridCol w:w="1526"/>
        <w:gridCol w:w="742"/>
        <w:gridCol w:w="709"/>
      </w:tblGrid>
      <w:tr w:rsidR="00E61BCC">
        <w:trPr>
          <w:trHeight w:val="645"/>
          <w:tblHeader/>
        </w:trPr>
        <w:tc>
          <w:tcPr>
            <w:tcW w:w="461" w:type="dxa"/>
            <w:vMerge w:val="restart"/>
            <w:vAlign w:val="center"/>
          </w:tcPr>
          <w:p w:rsidR="00E61BCC" w:rsidRDefault="00000000">
            <w:pPr>
              <w:snapToGrid w:val="0"/>
              <w:spacing w:line="440" w:lineRule="exact"/>
              <w:jc w:val="center"/>
              <w:rPr>
                <w:rFonts w:ascii="宋体" w:eastAsia="宋体" w:hAnsi="宋体" w:cs="Times New Roman" w:hint="eastAsia"/>
                <w:szCs w:val="21"/>
              </w:rPr>
            </w:pPr>
            <w:r>
              <w:rPr>
                <w:rFonts w:ascii="宋体" w:eastAsia="宋体" w:hAnsi="宋体" w:cs="Times New Roman" w:hint="eastAsia"/>
                <w:szCs w:val="21"/>
              </w:rPr>
              <w:lastRenderedPageBreak/>
              <w:t>序号</w:t>
            </w:r>
          </w:p>
        </w:tc>
        <w:tc>
          <w:tcPr>
            <w:tcW w:w="1065" w:type="dxa"/>
            <w:vMerge w:val="restart"/>
            <w:vAlign w:val="center"/>
          </w:tcPr>
          <w:p w:rsidR="00E61BCC" w:rsidRDefault="00000000">
            <w:pPr>
              <w:snapToGrid w:val="0"/>
              <w:spacing w:line="440" w:lineRule="exact"/>
              <w:jc w:val="center"/>
              <w:rPr>
                <w:rFonts w:ascii="宋体" w:eastAsia="宋体" w:hAnsi="宋体" w:cs="Times New Roman" w:hint="eastAsia"/>
                <w:szCs w:val="21"/>
              </w:rPr>
            </w:pPr>
            <w:r>
              <w:rPr>
                <w:rFonts w:ascii="宋体" w:eastAsia="宋体" w:hAnsi="宋体" w:cs="Times New Roman" w:hint="eastAsia"/>
                <w:szCs w:val="21"/>
              </w:rPr>
              <w:t>检验项目</w:t>
            </w:r>
          </w:p>
        </w:tc>
        <w:tc>
          <w:tcPr>
            <w:tcW w:w="1417" w:type="dxa"/>
            <w:vMerge w:val="restart"/>
            <w:vAlign w:val="center"/>
          </w:tcPr>
          <w:p w:rsidR="00E61BCC" w:rsidRDefault="00000000">
            <w:pPr>
              <w:snapToGrid w:val="0"/>
              <w:spacing w:line="440" w:lineRule="exact"/>
              <w:jc w:val="center"/>
              <w:rPr>
                <w:rFonts w:ascii="宋体" w:eastAsia="宋体" w:hAnsi="宋体" w:cs="Times New Roman" w:hint="eastAsia"/>
                <w:szCs w:val="21"/>
              </w:rPr>
            </w:pPr>
            <w:r>
              <w:rPr>
                <w:rFonts w:ascii="宋体" w:eastAsia="宋体" w:hAnsi="宋体" w:cs="Times New Roman" w:hint="eastAsia"/>
                <w:szCs w:val="21"/>
              </w:rPr>
              <w:t>依据法律法规标准</w:t>
            </w:r>
          </w:p>
        </w:tc>
        <w:tc>
          <w:tcPr>
            <w:tcW w:w="1461" w:type="dxa"/>
            <w:vMerge w:val="restart"/>
            <w:vAlign w:val="center"/>
          </w:tcPr>
          <w:p w:rsidR="00E61BCC" w:rsidRDefault="00000000">
            <w:pPr>
              <w:snapToGrid w:val="0"/>
              <w:spacing w:line="440" w:lineRule="exact"/>
              <w:jc w:val="center"/>
              <w:rPr>
                <w:rFonts w:ascii="宋体" w:eastAsia="宋体" w:hAnsi="宋体" w:cs="Times New Roman" w:hint="eastAsia"/>
                <w:szCs w:val="21"/>
              </w:rPr>
            </w:pPr>
            <w:r>
              <w:rPr>
                <w:rFonts w:ascii="宋体" w:eastAsia="宋体" w:hAnsi="宋体" w:cs="Times New Roman" w:hint="eastAsia"/>
                <w:szCs w:val="21"/>
              </w:rPr>
              <w:t>检测方法</w:t>
            </w:r>
          </w:p>
        </w:tc>
        <w:tc>
          <w:tcPr>
            <w:tcW w:w="2225" w:type="dxa"/>
            <w:vMerge w:val="restart"/>
            <w:vAlign w:val="center"/>
          </w:tcPr>
          <w:p w:rsidR="00E61BCC" w:rsidRDefault="00000000">
            <w:pPr>
              <w:snapToGrid w:val="0"/>
              <w:spacing w:line="440" w:lineRule="exact"/>
              <w:jc w:val="center"/>
              <w:rPr>
                <w:rFonts w:ascii="宋体" w:eastAsia="宋体" w:hAnsi="宋体" w:cs="Times New Roman" w:hint="eastAsia"/>
                <w:szCs w:val="21"/>
              </w:rPr>
            </w:pPr>
            <w:r>
              <w:rPr>
                <w:rFonts w:ascii="宋体" w:eastAsia="宋体" w:hAnsi="宋体" w:cs="Times New Roman" w:hint="eastAsia"/>
                <w:szCs w:val="21"/>
              </w:rPr>
              <w:t>主要关键检测设备/台套数</w:t>
            </w:r>
          </w:p>
        </w:tc>
        <w:tc>
          <w:tcPr>
            <w:tcW w:w="1526" w:type="dxa"/>
            <w:vMerge w:val="restart"/>
            <w:vAlign w:val="center"/>
          </w:tcPr>
          <w:p w:rsidR="00E61BCC" w:rsidRDefault="00000000">
            <w:pPr>
              <w:snapToGrid w:val="0"/>
              <w:spacing w:line="440" w:lineRule="exact"/>
              <w:jc w:val="center"/>
              <w:rPr>
                <w:rFonts w:ascii="宋体" w:eastAsia="宋体" w:hAnsi="宋体" w:cs="Times New Roman" w:hint="eastAsia"/>
                <w:szCs w:val="21"/>
              </w:rPr>
            </w:pPr>
            <w:r>
              <w:rPr>
                <w:rFonts w:ascii="宋体" w:eastAsia="宋体" w:hAnsi="宋体" w:cs="Times New Roman" w:hint="eastAsia"/>
                <w:szCs w:val="21"/>
              </w:rPr>
              <w:t>检验过程是否需要电子记录或影像记录</w:t>
            </w:r>
          </w:p>
        </w:tc>
        <w:tc>
          <w:tcPr>
            <w:tcW w:w="1451" w:type="dxa"/>
            <w:gridSpan w:val="2"/>
            <w:vAlign w:val="center"/>
          </w:tcPr>
          <w:p w:rsidR="00E61BCC" w:rsidRDefault="00000000">
            <w:pPr>
              <w:snapToGrid w:val="0"/>
              <w:spacing w:line="440" w:lineRule="exact"/>
              <w:jc w:val="center"/>
              <w:rPr>
                <w:rFonts w:ascii="宋体" w:eastAsia="宋体" w:hAnsi="宋体" w:cs="Times New Roman" w:hint="eastAsia"/>
                <w:szCs w:val="21"/>
              </w:rPr>
            </w:pPr>
            <w:r>
              <w:rPr>
                <w:rFonts w:ascii="宋体" w:eastAsia="宋体" w:hAnsi="宋体" w:cs="Times New Roman" w:hint="eastAsia"/>
                <w:szCs w:val="21"/>
              </w:rPr>
              <w:t>重要程度分类</w:t>
            </w:r>
          </w:p>
        </w:tc>
      </w:tr>
      <w:tr w:rsidR="00E61BCC">
        <w:trPr>
          <w:trHeight w:val="175"/>
          <w:tblHeader/>
        </w:trPr>
        <w:tc>
          <w:tcPr>
            <w:tcW w:w="461" w:type="dxa"/>
            <w:vMerge/>
            <w:vAlign w:val="center"/>
          </w:tcPr>
          <w:p w:rsidR="00E61BCC" w:rsidRDefault="00E61BCC">
            <w:pPr>
              <w:snapToGrid w:val="0"/>
              <w:spacing w:line="440" w:lineRule="exact"/>
              <w:jc w:val="center"/>
              <w:rPr>
                <w:rFonts w:ascii="宋体" w:eastAsia="宋体" w:hAnsi="宋体" w:cs="Times New Roman" w:hint="eastAsia"/>
                <w:szCs w:val="21"/>
              </w:rPr>
            </w:pPr>
          </w:p>
        </w:tc>
        <w:tc>
          <w:tcPr>
            <w:tcW w:w="1065" w:type="dxa"/>
            <w:vMerge/>
            <w:vAlign w:val="center"/>
          </w:tcPr>
          <w:p w:rsidR="00E61BCC" w:rsidRDefault="00E61BCC">
            <w:pPr>
              <w:snapToGrid w:val="0"/>
              <w:spacing w:line="440" w:lineRule="exact"/>
              <w:jc w:val="center"/>
              <w:rPr>
                <w:rFonts w:ascii="宋体" w:eastAsia="宋体" w:hAnsi="宋体" w:cs="Times New Roman" w:hint="eastAsia"/>
                <w:szCs w:val="21"/>
              </w:rPr>
            </w:pPr>
          </w:p>
        </w:tc>
        <w:tc>
          <w:tcPr>
            <w:tcW w:w="1417" w:type="dxa"/>
            <w:vMerge/>
            <w:vAlign w:val="center"/>
          </w:tcPr>
          <w:p w:rsidR="00E61BCC" w:rsidRDefault="00E61BCC">
            <w:pPr>
              <w:snapToGrid w:val="0"/>
              <w:spacing w:line="440" w:lineRule="exact"/>
              <w:jc w:val="center"/>
              <w:rPr>
                <w:rFonts w:ascii="宋体" w:eastAsia="宋体" w:hAnsi="宋体" w:cs="Times New Roman" w:hint="eastAsia"/>
                <w:szCs w:val="21"/>
              </w:rPr>
            </w:pPr>
          </w:p>
        </w:tc>
        <w:tc>
          <w:tcPr>
            <w:tcW w:w="1461" w:type="dxa"/>
            <w:vMerge/>
            <w:vAlign w:val="center"/>
          </w:tcPr>
          <w:p w:rsidR="00E61BCC" w:rsidRDefault="00E61BCC">
            <w:pPr>
              <w:snapToGrid w:val="0"/>
              <w:spacing w:line="440" w:lineRule="exact"/>
              <w:jc w:val="center"/>
              <w:rPr>
                <w:rFonts w:ascii="宋体" w:eastAsia="宋体" w:hAnsi="宋体" w:cs="Times New Roman" w:hint="eastAsia"/>
                <w:szCs w:val="21"/>
              </w:rPr>
            </w:pPr>
          </w:p>
        </w:tc>
        <w:tc>
          <w:tcPr>
            <w:tcW w:w="2225" w:type="dxa"/>
            <w:vMerge/>
            <w:vAlign w:val="center"/>
          </w:tcPr>
          <w:p w:rsidR="00E61BCC" w:rsidRDefault="00E61BCC">
            <w:pPr>
              <w:snapToGrid w:val="0"/>
              <w:spacing w:line="440" w:lineRule="exact"/>
              <w:jc w:val="center"/>
              <w:rPr>
                <w:rFonts w:ascii="宋体" w:eastAsia="宋体" w:hAnsi="宋体" w:cs="Times New Roman" w:hint="eastAsia"/>
                <w:szCs w:val="21"/>
              </w:rPr>
            </w:pPr>
          </w:p>
        </w:tc>
        <w:tc>
          <w:tcPr>
            <w:tcW w:w="1526" w:type="dxa"/>
            <w:vMerge/>
            <w:vAlign w:val="center"/>
          </w:tcPr>
          <w:p w:rsidR="00E61BCC" w:rsidRDefault="00E61BCC">
            <w:pPr>
              <w:snapToGrid w:val="0"/>
              <w:spacing w:line="440" w:lineRule="exact"/>
              <w:jc w:val="center"/>
              <w:rPr>
                <w:rFonts w:ascii="宋体" w:eastAsia="宋体" w:hAnsi="宋体" w:cs="Times New Roman" w:hint="eastAsia"/>
                <w:szCs w:val="21"/>
              </w:rPr>
            </w:pPr>
          </w:p>
        </w:tc>
        <w:tc>
          <w:tcPr>
            <w:tcW w:w="742" w:type="dxa"/>
            <w:vAlign w:val="center"/>
          </w:tcPr>
          <w:p w:rsidR="00E61BCC" w:rsidRDefault="00000000">
            <w:pPr>
              <w:snapToGrid w:val="0"/>
              <w:jc w:val="center"/>
              <w:rPr>
                <w:rFonts w:ascii="宋体" w:eastAsia="宋体" w:hAnsi="宋体" w:cs="Times New Roman" w:hint="eastAsia"/>
                <w:szCs w:val="21"/>
              </w:rPr>
            </w:pPr>
            <w:r>
              <w:rPr>
                <w:rFonts w:ascii="宋体" w:eastAsia="宋体" w:hAnsi="宋体" w:cs="宋体" w:hint="eastAsia"/>
                <w:sz w:val="24"/>
                <w:szCs w:val="24"/>
              </w:rPr>
              <w:t>A类</w:t>
            </w:r>
            <w:r>
              <w:rPr>
                <w:rFonts w:ascii="宋体" w:eastAsia="宋体" w:hAnsi="宋体" w:cs="宋体" w:hint="eastAsia"/>
                <w:sz w:val="24"/>
                <w:szCs w:val="24"/>
                <w:vertAlign w:val="superscript"/>
              </w:rPr>
              <w:t>a</w:t>
            </w:r>
          </w:p>
        </w:tc>
        <w:tc>
          <w:tcPr>
            <w:tcW w:w="709" w:type="dxa"/>
            <w:vAlign w:val="center"/>
          </w:tcPr>
          <w:p w:rsidR="00E61BCC" w:rsidRDefault="00000000">
            <w:pPr>
              <w:snapToGrid w:val="0"/>
              <w:jc w:val="center"/>
              <w:rPr>
                <w:rFonts w:ascii="宋体" w:eastAsia="宋体" w:hAnsi="宋体" w:cs="Times New Roman" w:hint="eastAsia"/>
                <w:szCs w:val="21"/>
              </w:rPr>
            </w:pPr>
            <w:r>
              <w:rPr>
                <w:rFonts w:ascii="宋体" w:eastAsia="宋体" w:hAnsi="宋体" w:cs="宋体" w:hint="eastAsia"/>
                <w:sz w:val="24"/>
                <w:szCs w:val="24"/>
              </w:rPr>
              <w:t>B类</w:t>
            </w:r>
            <w:r>
              <w:rPr>
                <w:rFonts w:ascii="宋体" w:eastAsia="宋体" w:hAnsi="宋体" w:cs="宋体" w:hint="eastAsia"/>
                <w:sz w:val="24"/>
                <w:szCs w:val="24"/>
                <w:vertAlign w:val="superscript"/>
              </w:rPr>
              <w:t>b</w:t>
            </w:r>
          </w:p>
        </w:tc>
      </w:tr>
      <w:tr w:rsidR="0088639C">
        <w:trPr>
          <w:trHeight w:val="1018"/>
        </w:trPr>
        <w:tc>
          <w:tcPr>
            <w:tcW w:w="461" w:type="dxa"/>
            <w:vAlign w:val="center"/>
          </w:tcPr>
          <w:p w:rsidR="0088639C" w:rsidRDefault="0088639C" w:rsidP="0088639C">
            <w:pPr>
              <w:snapToGrid w:val="0"/>
              <w:spacing w:line="440" w:lineRule="exact"/>
              <w:jc w:val="center"/>
              <w:rPr>
                <w:rFonts w:ascii="宋体" w:eastAsia="宋体" w:hAnsi="宋体" w:cs="Times New Roman" w:hint="eastAsia"/>
                <w:szCs w:val="21"/>
              </w:rPr>
            </w:pPr>
            <w:r>
              <w:rPr>
                <w:rFonts w:ascii="宋体" w:hAnsi="宋体" w:hint="eastAsia"/>
                <w:szCs w:val="21"/>
              </w:rPr>
              <w:t>1</w:t>
            </w:r>
          </w:p>
        </w:tc>
        <w:tc>
          <w:tcPr>
            <w:tcW w:w="1065" w:type="dxa"/>
            <w:vAlign w:val="center"/>
          </w:tcPr>
          <w:p w:rsidR="0088639C" w:rsidRDefault="0088639C" w:rsidP="0088639C">
            <w:pPr>
              <w:snapToGrid w:val="0"/>
              <w:jc w:val="center"/>
              <w:rPr>
                <w:rFonts w:ascii="宋体" w:eastAsia="宋体" w:hAnsi="宋体" w:cs="Times New Roman" w:hint="eastAsia"/>
                <w:szCs w:val="21"/>
              </w:rPr>
            </w:pPr>
            <w:r>
              <w:rPr>
                <w:rFonts w:ascii="宋体" w:hAnsi="宋体" w:hint="eastAsia"/>
                <w:szCs w:val="21"/>
              </w:rPr>
              <w:t>断裂荷载（纵向）</w:t>
            </w:r>
          </w:p>
        </w:tc>
        <w:tc>
          <w:tcPr>
            <w:tcW w:w="1417" w:type="dxa"/>
            <w:vAlign w:val="center"/>
          </w:tcPr>
          <w:p w:rsidR="0088639C" w:rsidRDefault="0088639C" w:rsidP="0088639C">
            <w:pPr>
              <w:snapToGrid w:val="0"/>
              <w:jc w:val="center"/>
              <w:rPr>
                <w:rFonts w:ascii="宋体" w:eastAsia="宋体" w:hAnsi="宋体" w:cs="Times New Roman" w:hint="eastAsia"/>
                <w:szCs w:val="21"/>
              </w:rPr>
            </w:pPr>
            <w:r>
              <w:rPr>
                <w:rFonts w:ascii="宋体" w:eastAsia="宋体" w:hAnsi="宋体" w:cs="Times New Roman" w:hint="eastAsia"/>
                <w:szCs w:val="21"/>
              </w:rPr>
              <w:t>GB/T 9775</w:t>
            </w:r>
          </w:p>
        </w:tc>
        <w:tc>
          <w:tcPr>
            <w:tcW w:w="1461" w:type="dxa"/>
            <w:vAlign w:val="center"/>
          </w:tcPr>
          <w:p w:rsidR="0088639C" w:rsidRDefault="0088639C" w:rsidP="0088639C">
            <w:pPr>
              <w:snapToGrid w:val="0"/>
              <w:jc w:val="center"/>
              <w:rPr>
                <w:rFonts w:ascii="宋体" w:eastAsia="宋体" w:hAnsi="宋体" w:cs="Times New Roman" w:hint="eastAsia"/>
                <w:szCs w:val="21"/>
              </w:rPr>
            </w:pPr>
            <w:r>
              <w:rPr>
                <w:rFonts w:ascii="宋体" w:eastAsia="宋体" w:hAnsi="宋体" w:cs="Times New Roman" w:hint="eastAsia"/>
                <w:szCs w:val="21"/>
              </w:rPr>
              <w:t>GB/T 9775</w:t>
            </w:r>
          </w:p>
        </w:tc>
        <w:tc>
          <w:tcPr>
            <w:tcW w:w="2225" w:type="dxa"/>
            <w:vAlign w:val="center"/>
          </w:tcPr>
          <w:p w:rsidR="0088639C" w:rsidRDefault="0088639C" w:rsidP="0088639C">
            <w:pPr>
              <w:snapToGrid w:val="0"/>
              <w:jc w:val="center"/>
              <w:rPr>
                <w:rFonts w:ascii="宋体" w:eastAsia="宋体" w:hAnsi="宋体" w:cs="Times New Roman" w:hint="eastAsia"/>
                <w:szCs w:val="21"/>
              </w:rPr>
            </w:pPr>
            <w:r>
              <w:rPr>
                <w:rFonts w:ascii="宋体" w:eastAsia="宋体" w:hAnsi="宋体" w:cs="Times New Roman" w:hint="eastAsia"/>
                <w:szCs w:val="21"/>
              </w:rPr>
              <w:t>烘箱/2；</w:t>
            </w:r>
          </w:p>
          <w:p w:rsidR="0088639C" w:rsidRDefault="0088639C" w:rsidP="0088639C">
            <w:pPr>
              <w:snapToGrid w:val="0"/>
              <w:jc w:val="center"/>
              <w:rPr>
                <w:rFonts w:ascii="宋体" w:eastAsia="宋体" w:hAnsi="宋体" w:cs="Times New Roman" w:hint="eastAsia"/>
                <w:szCs w:val="21"/>
              </w:rPr>
            </w:pPr>
            <w:r>
              <w:rPr>
                <w:rFonts w:ascii="宋体" w:eastAsia="宋体" w:hAnsi="宋体" w:cs="Times New Roman" w:hint="eastAsia"/>
                <w:szCs w:val="21"/>
              </w:rPr>
              <w:t>微机控制电子万能试验机/1</w:t>
            </w:r>
          </w:p>
        </w:tc>
        <w:tc>
          <w:tcPr>
            <w:tcW w:w="1526" w:type="dxa"/>
            <w:vAlign w:val="center"/>
          </w:tcPr>
          <w:p w:rsidR="0088639C" w:rsidRDefault="0088639C" w:rsidP="0088639C">
            <w:pPr>
              <w:jc w:val="center"/>
              <w:rPr>
                <w:rFonts w:ascii="Times New Roman" w:eastAsia="宋体" w:hAnsi="Times New Roman" w:cs="Times New Roman"/>
                <w:szCs w:val="21"/>
              </w:rPr>
            </w:pPr>
            <w:r>
              <w:rPr>
                <w:rFonts w:ascii="宋体" w:hAnsi="宋体" w:hint="eastAsia"/>
                <w:szCs w:val="21"/>
              </w:rPr>
              <w:t>否</w:t>
            </w:r>
          </w:p>
        </w:tc>
        <w:tc>
          <w:tcPr>
            <w:tcW w:w="742" w:type="dxa"/>
            <w:vAlign w:val="center"/>
          </w:tcPr>
          <w:p w:rsidR="0088639C" w:rsidRDefault="0088639C" w:rsidP="0088639C">
            <w:pPr>
              <w:snapToGrid w:val="0"/>
              <w:jc w:val="center"/>
              <w:rPr>
                <w:rFonts w:ascii="宋体" w:eastAsia="宋体" w:hAnsi="宋体" w:cs="Times New Roman" w:hint="eastAsia"/>
                <w:szCs w:val="21"/>
              </w:rPr>
            </w:pPr>
          </w:p>
        </w:tc>
        <w:tc>
          <w:tcPr>
            <w:tcW w:w="709" w:type="dxa"/>
            <w:vAlign w:val="center"/>
          </w:tcPr>
          <w:p w:rsidR="0088639C" w:rsidRDefault="0088639C" w:rsidP="0088639C">
            <w:pPr>
              <w:snapToGrid w:val="0"/>
              <w:jc w:val="center"/>
              <w:rPr>
                <w:rFonts w:ascii="宋体" w:eastAsia="宋体" w:hAnsi="宋体" w:cs="Times New Roman" w:hint="eastAsia"/>
                <w:szCs w:val="21"/>
              </w:rPr>
            </w:pPr>
            <w:r>
              <w:rPr>
                <w:rFonts w:ascii="宋体" w:hAnsi="宋体" w:hint="eastAsia"/>
                <w:szCs w:val="21"/>
              </w:rPr>
              <w:t>√</w:t>
            </w:r>
          </w:p>
        </w:tc>
      </w:tr>
      <w:tr w:rsidR="0088639C">
        <w:trPr>
          <w:trHeight w:val="976"/>
        </w:trPr>
        <w:tc>
          <w:tcPr>
            <w:tcW w:w="461" w:type="dxa"/>
            <w:vAlign w:val="center"/>
          </w:tcPr>
          <w:p w:rsidR="0088639C" w:rsidRDefault="0088639C" w:rsidP="0088639C">
            <w:pPr>
              <w:snapToGrid w:val="0"/>
              <w:spacing w:line="440" w:lineRule="exact"/>
              <w:jc w:val="center"/>
              <w:rPr>
                <w:rFonts w:ascii="宋体" w:eastAsia="宋体" w:hAnsi="宋体" w:cs="Times New Roman" w:hint="eastAsia"/>
                <w:szCs w:val="21"/>
              </w:rPr>
            </w:pPr>
            <w:r>
              <w:rPr>
                <w:rFonts w:ascii="宋体" w:hAnsi="宋体" w:hint="eastAsia"/>
                <w:szCs w:val="21"/>
              </w:rPr>
              <w:t>2</w:t>
            </w:r>
          </w:p>
        </w:tc>
        <w:tc>
          <w:tcPr>
            <w:tcW w:w="1065" w:type="dxa"/>
            <w:vAlign w:val="center"/>
          </w:tcPr>
          <w:p w:rsidR="0088639C" w:rsidRDefault="0088639C" w:rsidP="0088639C">
            <w:pPr>
              <w:snapToGrid w:val="0"/>
              <w:jc w:val="center"/>
              <w:rPr>
                <w:rFonts w:ascii="宋体" w:eastAsia="宋体" w:hAnsi="宋体" w:cs="Times New Roman" w:hint="eastAsia"/>
                <w:szCs w:val="21"/>
              </w:rPr>
            </w:pPr>
            <w:r>
              <w:rPr>
                <w:rFonts w:ascii="宋体" w:hAnsi="宋体" w:hint="eastAsia"/>
                <w:szCs w:val="21"/>
              </w:rPr>
              <w:t>断裂荷载（横向）</w:t>
            </w:r>
          </w:p>
        </w:tc>
        <w:tc>
          <w:tcPr>
            <w:tcW w:w="1417" w:type="dxa"/>
            <w:vAlign w:val="center"/>
          </w:tcPr>
          <w:p w:rsidR="0088639C" w:rsidRDefault="0088639C" w:rsidP="0088639C">
            <w:pPr>
              <w:snapToGrid w:val="0"/>
              <w:jc w:val="center"/>
              <w:rPr>
                <w:rFonts w:ascii="宋体" w:eastAsia="宋体" w:hAnsi="宋体" w:cs="Times New Roman" w:hint="eastAsia"/>
                <w:szCs w:val="21"/>
              </w:rPr>
            </w:pPr>
            <w:r>
              <w:rPr>
                <w:rFonts w:ascii="宋体" w:eastAsia="宋体" w:hAnsi="宋体" w:cs="Times New Roman" w:hint="eastAsia"/>
                <w:szCs w:val="21"/>
              </w:rPr>
              <w:t>GB/T 9775</w:t>
            </w:r>
          </w:p>
        </w:tc>
        <w:tc>
          <w:tcPr>
            <w:tcW w:w="1461" w:type="dxa"/>
            <w:vAlign w:val="center"/>
          </w:tcPr>
          <w:p w:rsidR="0088639C" w:rsidRDefault="0088639C" w:rsidP="0088639C">
            <w:pPr>
              <w:snapToGrid w:val="0"/>
              <w:jc w:val="center"/>
              <w:rPr>
                <w:rFonts w:ascii="宋体" w:eastAsia="宋体" w:hAnsi="宋体" w:cs="Times New Roman" w:hint="eastAsia"/>
                <w:szCs w:val="21"/>
              </w:rPr>
            </w:pPr>
            <w:r>
              <w:rPr>
                <w:rFonts w:ascii="宋体" w:eastAsia="宋体" w:hAnsi="宋体" w:cs="Times New Roman" w:hint="eastAsia"/>
                <w:szCs w:val="21"/>
              </w:rPr>
              <w:t>GB/T 9775</w:t>
            </w:r>
          </w:p>
        </w:tc>
        <w:tc>
          <w:tcPr>
            <w:tcW w:w="2225" w:type="dxa"/>
            <w:vAlign w:val="center"/>
          </w:tcPr>
          <w:p w:rsidR="0088639C" w:rsidRDefault="0088639C" w:rsidP="0088639C">
            <w:pPr>
              <w:snapToGrid w:val="0"/>
              <w:jc w:val="center"/>
              <w:rPr>
                <w:rFonts w:ascii="宋体" w:eastAsia="宋体" w:hAnsi="宋体" w:cs="Times New Roman" w:hint="eastAsia"/>
                <w:szCs w:val="21"/>
              </w:rPr>
            </w:pPr>
            <w:r>
              <w:rPr>
                <w:rFonts w:ascii="宋体" w:eastAsia="宋体" w:hAnsi="宋体" w:cs="Times New Roman" w:hint="eastAsia"/>
                <w:szCs w:val="21"/>
              </w:rPr>
              <w:t>烘箱/2；</w:t>
            </w:r>
          </w:p>
          <w:p w:rsidR="0088639C" w:rsidRDefault="0088639C" w:rsidP="0088639C">
            <w:pPr>
              <w:snapToGrid w:val="0"/>
              <w:jc w:val="center"/>
              <w:rPr>
                <w:rFonts w:ascii="宋体" w:eastAsia="宋体" w:hAnsi="宋体" w:cs="Times New Roman" w:hint="eastAsia"/>
                <w:szCs w:val="21"/>
              </w:rPr>
            </w:pPr>
            <w:r>
              <w:rPr>
                <w:rFonts w:ascii="宋体" w:eastAsia="宋体" w:hAnsi="宋体" w:cs="Times New Roman" w:hint="eastAsia"/>
                <w:szCs w:val="21"/>
              </w:rPr>
              <w:t>微机控制电子万能试验机/1</w:t>
            </w:r>
          </w:p>
        </w:tc>
        <w:tc>
          <w:tcPr>
            <w:tcW w:w="1526" w:type="dxa"/>
            <w:vAlign w:val="center"/>
          </w:tcPr>
          <w:p w:rsidR="0088639C" w:rsidRDefault="0088639C" w:rsidP="0088639C">
            <w:pPr>
              <w:jc w:val="center"/>
              <w:rPr>
                <w:rFonts w:ascii="Times New Roman" w:eastAsia="宋体" w:hAnsi="Times New Roman" w:cs="Times New Roman"/>
                <w:szCs w:val="21"/>
              </w:rPr>
            </w:pPr>
            <w:r>
              <w:rPr>
                <w:rFonts w:ascii="宋体" w:hAnsi="宋体" w:hint="eastAsia"/>
                <w:szCs w:val="21"/>
              </w:rPr>
              <w:t>否</w:t>
            </w:r>
          </w:p>
        </w:tc>
        <w:tc>
          <w:tcPr>
            <w:tcW w:w="742" w:type="dxa"/>
            <w:vAlign w:val="center"/>
          </w:tcPr>
          <w:p w:rsidR="0088639C" w:rsidRDefault="0088639C" w:rsidP="0088639C">
            <w:pPr>
              <w:snapToGrid w:val="0"/>
              <w:jc w:val="center"/>
              <w:rPr>
                <w:rFonts w:ascii="宋体" w:eastAsia="宋体" w:hAnsi="宋体" w:cs="Times New Roman" w:hint="eastAsia"/>
                <w:szCs w:val="21"/>
              </w:rPr>
            </w:pPr>
          </w:p>
        </w:tc>
        <w:tc>
          <w:tcPr>
            <w:tcW w:w="709" w:type="dxa"/>
            <w:vAlign w:val="center"/>
          </w:tcPr>
          <w:p w:rsidR="0088639C" w:rsidRDefault="0088639C" w:rsidP="0088639C">
            <w:pPr>
              <w:snapToGrid w:val="0"/>
              <w:jc w:val="center"/>
              <w:rPr>
                <w:rFonts w:ascii="宋体" w:eastAsia="宋体" w:hAnsi="宋体" w:cs="Times New Roman" w:hint="eastAsia"/>
                <w:szCs w:val="21"/>
              </w:rPr>
            </w:pPr>
            <w:r>
              <w:rPr>
                <w:rFonts w:ascii="宋体" w:hAnsi="宋体" w:hint="eastAsia"/>
                <w:szCs w:val="21"/>
              </w:rPr>
              <w:t>√</w:t>
            </w:r>
          </w:p>
        </w:tc>
      </w:tr>
      <w:tr w:rsidR="0088639C">
        <w:trPr>
          <w:trHeight w:val="977"/>
        </w:trPr>
        <w:tc>
          <w:tcPr>
            <w:tcW w:w="461" w:type="dxa"/>
            <w:vAlign w:val="center"/>
          </w:tcPr>
          <w:p w:rsidR="0088639C" w:rsidRDefault="0088639C" w:rsidP="0088639C">
            <w:pPr>
              <w:snapToGrid w:val="0"/>
              <w:spacing w:line="440" w:lineRule="exact"/>
              <w:jc w:val="center"/>
              <w:rPr>
                <w:rFonts w:ascii="宋体" w:eastAsia="宋体" w:hAnsi="宋体" w:cs="Times New Roman" w:hint="eastAsia"/>
                <w:szCs w:val="21"/>
              </w:rPr>
            </w:pPr>
            <w:r>
              <w:rPr>
                <w:rFonts w:ascii="宋体" w:hAnsi="宋体" w:hint="eastAsia"/>
                <w:szCs w:val="21"/>
              </w:rPr>
              <w:t>3</w:t>
            </w:r>
          </w:p>
        </w:tc>
        <w:tc>
          <w:tcPr>
            <w:tcW w:w="1065" w:type="dxa"/>
            <w:vAlign w:val="center"/>
          </w:tcPr>
          <w:p w:rsidR="0088639C" w:rsidRDefault="0088639C" w:rsidP="0088639C">
            <w:pPr>
              <w:snapToGrid w:val="0"/>
              <w:jc w:val="center"/>
              <w:rPr>
                <w:rFonts w:ascii="宋体" w:hAnsi="宋体" w:hint="eastAsia"/>
                <w:szCs w:val="21"/>
              </w:rPr>
            </w:pPr>
            <w:r>
              <w:rPr>
                <w:rFonts w:ascii="宋体" w:hAnsi="宋体" w:hint="eastAsia"/>
                <w:szCs w:val="21"/>
              </w:rPr>
              <w:t>抗冲击性</w:t>
            </w:r>
          </w:p>
        </w:tc>
        <w:tc>
          <w:tcPr>
            <w:tcW w:w="1417" w:type="dxa"/>
            <w:vAlign w:val="center"/>
          </w:tcPr>
          <w:p w:rsidR="0088639C" w:rsidRDefault="0088639C" w:rsidP="0088639C">
            <w:pPr>
              <w:snapToGrid w:val="0"/>
              <w:jc w:val="center"/>
              <w:rPr>
                <w:rFonts w:ascii="宋体" w:eastAsia="宋体" w:hAnsi="宋体" w:cs="Times New Roman" w:hint="eastAsia"/>
                <w:szCs w:val="21"/>
              </w:rPr>
            </w:pPr>
            <w:r>
              <w:rPr>
                <w:rFonts w:ascii="宋体" w:hAnsi="宋体" w:hint="eastAsia"/>
                <w:szCs w:val="21"/>
              </w:rPr>
              <w:t>GB/T 9775</w:t>
            </w:r>
          </w:p>
        </w:tc>
        <w:tc>
          <w:tcPr>
            <w:tcW w:w="1461" w:type="dxa"/>
            <w:vAlign w:val="center"/>
          </w:tcPr>
          <w:p w:rsidR="0088639C" w:rsidRDefault="0088639C" w:rsidP="0088639C">
            <w:pPr>
              <w:snapToGrid w:val="0"/>
              <w:jc w:val="center"/>
              <w:rPr>
                <w:rFonts w:ascii="宋体" w:eastAsia="宋体" w:hAnsi="宋体" w:cs="Times New Roman" w:hint="eastAsia"/>
                <w:szCs w:val="21"/>
              </w:rPr>
            </w:pPr>
            <w:r>
              <w:rPr>
                <w:rFonts w:ascii="宋体" w:hAnsi="宋体" w:hint="eastAsia"/>
                <w:szCs w:val="21"/>
              </w:rPr>
              <w:t>GB/T 9775</w:t>
            </w:r>
          </w:p>
        </w:tc>
        <w:tc>
          <w:tcPr>
            <w:tcW w:w="2225" w:type="dxa"/>
            <w:vAlign w:val="center"/>
          </w:tcPr>
          <w:p w:rsidR="0088639C" w:rsidRDefault="0088639C" w:rsidP="0088639C">
            <w:pPr>
              <w:snapToGrid w:val="0"/>
              <w:jc w:val="center"/>
              <w:rPr>
                <w:rFonts w:ascii="宋体" w:eastAsia="宋体" w:hAnsi="宋体" w:cs="Times New Roman" w:hint="eastAsia"/>
                <w:szCs w:val="21"/>
              </w:rPr>
            </w:pPr>
            <w:r>
              <w:rPr>
                <w:rFonts w:ascii="宋体" w:hAnsi="宋体" w:hint="eastAsia"/>
                <w:szCs w:val="21"/>
              </w:rPr>
              <w:t>抗冲击强度测定仪/1；</w:t>
            </w:r>
          </w:p>
        </w:tc>
        <w:tc>
          <w:tcPr>
            <w:tcW w:w="1526" w:type="dxa"/>
            <w:vAlign w:val="center"/>
          </w:tcPr>
          <w:p w:rsidR="0088639C" w:rsidRDefault="0088639C" w:rsidP="0088639C">
            <w:pPr>
              <w:jc w:val="center"/>
              <w:rPr>
                <w:rFonts w:ascii="宋体" w:hAnsi="宋体" w:hint="eastAsia"/>
                <w:szCs w:val="21"/>
              </w:rPr>
            </w:pPr>
            <w:r>
              <w:rPr>
                <w:rFonts w:ascii="宋体" w:hAnsi="宋体" w:hint="eastAsia"/>
                <w:szCs w:val="21"/>
              </w:rPr>
              <w:t>否</w:t>
            </w:r>
          </w:p>
        </w:tc>
        <w:tc>
          <w:tcPr>
            <w:tcW w:w="742" w:type="dxa"/>
            <w:vAlign w:val="center"/>
          </w:tcPr>
          <w:p w:rsidR="0088639C" w:rsidRDefault="0088639C" w:rsidP="0088639C">
            <w:pPr>
              <w:snapToGrid w:val="0"/>
              <w:jc w:val="center"/>
              <w:rPr>
                <w:rFonts w:ascii="宋体" w:eastAsia="宋体" w:hAnsi="宋体" w:cs="Times New Roman" w:hint="eastAsia"/>
                <w:szCs w:val="21"/>
              </w:rPr>
            </w:pPr>
          </w:p>
        </w:tc>
        <w:tc>
          <w:tcPr>
            <w:tcW w:w="709" w:type="dxa"/>
            <w:vAlign w:val="center"/>
          </w:tcPr>
          <w:p w:rsidR="0088639C" w:rsidRDefault="0088639C" w:rsidP="0088639C">
            <w:pPr>
              <w:snapToGrid w:val="0"/>
              <w:jc w:val="center"/>
              <w:rPr>
                <w:rFonts w:ascii="宋体" w:hAnsi="宋体" w:hint="eastAsia"/>
                <w:szCs w:val="21"/>
              </w:rPr>
            </w:pPr>
            <w:r>
              <w:rPr>
                <w:rFonts w:ascii="宋体" w:hAnsi="宋体" w:hint="eastAsia"/>
                <w:szCs w:val="21"/>
              </w:rPr>
              <w:t>√</w:t>
            </w:r>
          </w:p>
        </w:tc>
      </w:tr>
      <w:tr w:rsidR="0088639C">
        <w:tc>
          <w:tcPr>
            <w:tcW w:w="9606" w:type="dxa"/>
            <w:gridSpan w:val="8"/>
            <w:vAlign w:val="center"/>
          </w:tcPr>
          <w:p w:rsidR="0088639C" w:rsidRDefault="0088639C" w:rsidP="0088639C">
            <w:pPr>
              <w:snapToGrid w:val="0"/>
              <w:spacing w:line="440" w:lineRule="exact"/>
              <w:rPr>
                <w:rFonts w:ascii="宋体" w:eastAsia="宋体" w:hAnsi="宋体" w:cs="Times New Roman" w:hint="eastAsia"/>
                <w:szCs w:val="21"/>
              </w:rPr>
            </w:pPr>
            <w:r>
              <w:rPr>
                <w:rFonts w:ascii="宋体" w:eastAsia="宋体" w:hAnsi="宋体" w:cs="Times New Roman" w:hint="eastAsia"/>
                <w:szCs w:val="21"/>
              </w:rPr>
              <w:t>a：极重要质量项目, 是指直接涉及人体健康、使用安全的指标；</w:t>
            </w:r>
          </w:p>
          <w:p w:rsidR="0088639C" w:rsidRDefault="0088639C" w:rsidP="0088639C">
            <w:pPr>
              <w:snapToGrid w:val="0"/>
              <w:spacing w:line="440" w:lineRule="exact"/>
              <w:rPr>
                <w:rFonts w:ascii="宋体" w:eastAsia="宋体" w:hAnsi="宋体" w:cs="Times New Roman" w:hint="eastAsia"/>
                <w:szCs w:val="21"/>
              </w:rPr>
            </w:pPr>
            <w:r>
              <w:rPr>
                <w:rFonts w:ascii="宋体" w:eastAsia="宋体" w:hAnsi="宋体" w:cs="Times New Roman" w:hint="eastAsia"/>
                <w:szCs w:val="21"/>
              </w:rPr>
              <w:t>b：重要质量项目，是指产品涉及环保、能效、关键性能或特征值的指标。</w:t>
            </w:r>
          </w:p>
        </w:tc>
      </w:tr>
      <w:tr w:rsidR="0088639C">
        <w:trPr>
          <w:trHeight w:val="880"/>
        </w:trPr>
        <w:tc>
          <w:tcPr>
            <w:tcW w:w="461" w:type="dxa"/>
            <w:vAlign w:val="center"/>
          </w:tcPr>
          <w:p w:rsidR="0088639C" w:rsidRDefault="0088639C" w:rsidP="0088639C">
            <w:pPr>
              <w:snapToGrid w:val="0"/>
              <w:spacing w:line="440" w:lineRule="exact"/>
              <w:jc w:val="center"/>
              <w:rPr>
                <w:rFonts w:ascii="宋体" w:eastAsia="宋体" w:hAnsi="宋体" w:cs="Times New Roman" w:hint="eastAsia"/>
                <w:szCs w:val="21"/>
              </w:rPr>
            </w:pPr>
            <w:r>
              <w:rPr>
                <w:rFonts w:ascii="宋体" w:eastAsia="宋体" w:hAnsi="宋体" w:cs="Times New Roman" w:hint="eastAsia"/>
                <w:szCs w:val="21"/>
              </w:rPr>
              <w:t>备注</w:t>
            </w:r>
          </w:p>
        </w:tc>
        <w:tc>
          <w:tcPr>
            <w:tcW w:w="9145" w:type="dxa"/>
            <w:gridSpan w:val="7"/>
            <w:vAlign w:val="center"/>
          </w:tcPr>
          <w:p w:rsidR="0088639C" w:rsidRDefault="0088639C" w:rsidP="0088639C">
            <w:pPr>
              <w:snapToGrid w:val="0"/>
              <w:spacing w:line="440" w:lineRule="exact"/>
              <w:jc w:val="center"/>
              <w:rPr>
                <w:rFonts w:ascii="宋体" w:eastAsia="宋体" w:hAnsi="宋体" w:cs="Times New Roman" w:hint="eastAsia"/>
                <w:szCs w:val="21"/>
              </w:rPr>
            </w:pPr>
            <w:r>
              <w:rPr>
                <w:rFonts w:ascii="宋体" w:eastAsia="宋体" w:hAnsi="宋体" w:cs="Times New Roman" w:hint="eastAsia"/>
                <w:szCs w:val="21"/>
              </w:rPr>
              <w:t>——</w:t>
            </w:r>
          </w:p>
        </w:tc>
      </w:tr>
    </w:tbl>
    <w:p w:rsidR="00E61BCC" w:rsidRDefault="00000000">
      <w:pPr>
        <w:spacing w:line="360" w:lineRule="auto"/>
        <w:rPr>
          <w:rFonts w:asciiTheme="minorEastAsia" w:hAnsiTheme="minorEastAsia" w:hint="eastAsia"/>
          <w:sz w:val="28"/>
          <w:szCs w:val="28"/>
        </w:rPr>
      </w:pPr>
      <w:r>
        <w:rPr>
          <w:rFonts w:asciiTheme="minorEastAsia" w:hAnsiTheme="minorEastAsia" w:hint="eastAsia"/>
          <w:sz w:val="28"/>
          <w:szCs w:val="28"/>
        </w:rPr>
        <w:t>6.2 质量判定</w:t>
      </w:r>
    </w:p>
    <w:p w:rsidR="00E61BCC" w:rsidRDefault="00000000">
      <w:pPr>
        <w:spacing w:line="560" w:lineRule="exact"/>
        <w:ind w:firstLineChars="200" w:firstLine="560"/>
        <w:rPr>
          <w:rFonts w:asciiTheme="minorEastAsia" w:hAnsiTheme="minorEastAsia" w:hint="eastAsia"/>
          <w:sz w:val="28"/>
          <w:szCs w:val="28"/>
        </w:rPr>
      </w:pPr>
      <w:r>
        <w:rPr>
          <w:rFonts w:asciiTheme="minorEastAsia" w:hAnsiTheme="minorEastAsia" w:hint="eastAsia"/>
          <w:sz w:val="28"/>
          <w:szCs w:val="28"/>
        </w:rPr>
        <w:t>若被检产品明示的质量要求高于本规范中检验项目依据的标准要求时</w:t>
      </w:r>
      <w:r w:rsidR="00014AC7">
        <w:rPr>
          <w:rFonts w:asciiTheme="minorEastAsia" w:hAnsiTheme="minorEastAsia" w:hint="eastAsia"/>
          <w:sz w:val="28"/>
          <w:szCs w:val="28"/>
        </w:rPr>
        <w:t>，</w:t>
      </w:r>
      <w:r>
        <w:rPr>
          <w:rFonts w:asciiTheme="minorEastAsia" w:hAnsiTheme="minorEastAsia" w:hint="eastAsia"/>
          <w:sz w:val="28"/>
          <w:szCs w:val="28"/>
        </w:rPr>
        <w:t>应按被检产品明示的质量要求判定 。</w:t>
      </w:r>
    </w:p>
    <w:p w:rsidR="00E61BCC" w:rsidRDefault="00000000">
      <w:pPr>
        <w:spacing w:line="560" w:lineRule="exact"/>
        <w:ind w:firstLineChars="200" w:firstLine="560"/>
        <w:rPr>
          <w:rFonts w:asciiTheme="minorEastAsia" w:hAnsiTheme="minorEastAsia" w:hint="eastAsia"/>
          <w:sz w:val="28"/>
          <w:szCs w:val="28"/>
        </w:rPr>
      </w:pPr>
      <w:r>
        <w:rPr>
          <w:rFonts w:asciiTheme="minorEastAsia" w:hAnsiTheme="minorEastAsia" w:hint="eastAsia"/>
          <w:sz w:val="28"/>
          <w:szCs w:val="28"/>
        </w:rPr>
        <w:t>若被检产品明示的质量要求低于本规范中检验项目依据的强制性标准要求时</w:t>
      </w:r>
      <w:r w:rsidR="00014AC7">
        <w:rPr>
          <w:rFonts w:asciiTheme="minorEastAsia" w:hAnsiTheme="minorEastAsia" w:hint="eastAsia"/>
          <w:sz w:val="28"/>
          <w:szCs w:val="28"/>
        </w:rPr>
        <w:t>，</w:t>
      </w:r>
      <w:r>
        <w:rPr>
          <w:rFonts w:asciiTheme="minorEastAsia" w:hAnsiTheme="minorEastAsia" w:hint="eastAsia"/>
          <w:sz w:val="28"/>
          <w:szCs w:val="28"/>
        </w:rPr>
        <w:t>应按照强制性标准要求判定 。</w:t>
      </w:r>
    </w:p>
    <w:p w:rsidR="00E61BCC" w:rsidRDefault="00000000">
      <w:pPr>
        <w:spacing w:line="560" w:lineRule="exact"/>
        <w:ind w:firstLineChars="200" w:firstLine="560"/>
        <w:rPr>
          <w:rFonts w:asciiTheme="minorEastAsia" w:hAnsiTheme="minorEastAsia" w:hint="eastAsia"/>
          <w:sz w:val="28"/>
          <w:szCs w:val="28"/>
        </w:rPr>
      </w:pPr>
      <w:r>
        <w:rPr>
          <w:rFonts w:asciiTheme="minorEastAsia" w:hAnsiTheme="minorEastAsia" w:hint="eastAsia"/>
          <w:sz w:val="28"/>
          <w:szCs w:val="28"/>
        </w:rPr>
        <w:t>若被检产品明示的质量要求低于或包含规范中检验项目依据的推荐性标准要求时</w:t>
      </w:r>
      <w:r w:rsidR="00014AC7">
        <w:rPr>
          <w:rFonts w:asciiTheme="minorEastAsia" w:hAnsiTheme="minorEastAsia" w:hint="eastAsia"/>
          <w:sz w:val="28"/>
          <w:szCs w:val="28"/>
        </w:rPr>
        <w:t>，</w:t>
      </w:r>
      <w:r>
        <w:rPr>
          <w:rFonts w:asciiTheme="minorEastAsia" w:hAnsiTheme="minorEastAsia" w:hint="eastAsia"/>
          <w:sz w:val="28"/>
          <w:szCs w:val="28"/>
        </w:rPr>
        <w:t>应以被检产品明示的质量要求判定 。</w:t>
      </w:r>
    </w:p>
    <w:p w:rsidR="00E61BCC" w:rsidRDefault="00000000">
      <w:pPr>
        <w:spacing w:line="560" w:lineRule="exact"/>
        <w:ind w:firstLineChars="200" w:firstLine="560"/>
        <w:rPr>
          <w:rFonts w:asciiTheme="minorEastAsia" w:hAnsiTheme="minorEastAsia" w:hint="eastAsia"/>
          <w:sz w:val="28"/>
          <w:szCs w:val="28"/>
        </w:rPr>
      </w:pPr>
      <w:r>
        <w:rPr>
          <w:rFonts w:asciiTheme="minorEastAsia" w:hAnsiTheme="minorEastAsia" w:hint="eastAsia"/>
          <w:sz w:val="28"/>
          <w:szCs w:val="28"/>
        </w:rPr>
        <w:t>若被检产品明示的质量要求缺少本规范中检验项目依据的强制性标准要求时</w:t>
      </w:r>
      <w:r w:rsidR="00014AC7">
        <w:rPr>
          <w:rFonts w:asciiTheme="minorEastAsia" w:hAnsiTheme="minorEastAsia" w:hint="eastAsia"/>
          <w:sz w:val="28"/>
          <w:szCs w:val="28"/>
        </w:rPr>
        <w:t>，</w:t>
      </w:r>
      <w:r>
        <w:rPr>
          <w:rFonts w:asciiTheme="minorEastAsia" w:hAnsiTheme="minorEastAsia" w:hint="eastAsia"/>
          <w:sz w:val="28"/>
          <w:szCs w:val="28"/>
        </w:rPr>
        <w:t>应按照强制性标准要求判定 。</w:t>
      </w:r>
    </w:p>
    <w:p w:rsidR="00E61BCC" w:rsidRDefault="00000000">
      <w:pPr>
        <w:spacing w:line="560" w:lineRule="exact"/>
        <w:ind w:firstLineChars="200" w:firstLine="560"/>
        <w:rPr>
          <w:rFonts w:asciiTheme="minorEastAsia" w:hAnsiTheme="minorEastAsia" w:hint="eastAsia"/>
          <w:sz w:val="28"/>
          <w:szCs w:val="28"/>
        </w:rPr>
      </w:pPr>
      <w:r>
        <w:rPr>
          <w:rFonts w:asciiTheme="minorEastAsia" w:hAnsiTheme="minorEastAsia" w:hint="eastAsia"/>
          <w:sz w:val="28"/>
          <w:szCs w:val="28"/>
        </w:rPr>
        <w:t>若被检产品明示的质量要求缺少本规范中检验项目依据的推荐 性标准要求时</w:t>
      </w:r>
      <w:r w:rsidR="00014AC7">
        <w:rPr>
          <w:rFonts w:asciiTheme="minorEastAsia" w:hAnsiTheme="minorEastAsia" w:hint="eastAsia"/>
          <w:sz w:val="28"/>
          <w:szCs w:val="28"/>
        </w:rPr>
        <w:t>，</w:t>
      </w:r>
      <w:r>
        <w:rPr>
          <w:rFonts w:asciiTheme="minorEastAsia" w:hAnsiTheme="minorEastAsia" w:hint="eastAsia"/>
          <w:sz w:val="28"/>
          <w:szCs w:val="28"/>
        </w:rPr>
        <w:t>该项目不参与判定</w:t>
      </w:r>
      <w:r w:rsidR="00014AC7">
        <w:rPr>
          <w:rFonts w:asciiTheme="minorEastAsia" w:hAnsiTheme="minorEastAsia" w:hint="eastAsia"/>
          <w:sz w:val="28"/>
          <w:szCs w:val="28"/>
        </w:rPr>
        <w:t>：</w:t>
      </w:r>
      <w:r>
        <w:rPr>
          <w:rFonts w:asciiTheme="minorEastAsia" w:hAnsiTheme="minorEastAsia" w:hint="eastAsia"/>
          <w:sz w:val="28"/>
          <w:szCs w:val="28"/>
        </w:rPr>
        <w:t>但应在检验报告备注中进行说明 。7</w:t>
      </w:r>
      <w:r>
        <w:rPr>
          <w:rFonts w:asciiTheme="minorEastAsia" w:hAnsiTheme="minorEastAsia"/>
          <w:sz w:val="28"/>
          <w:szCs w:val="28"/>
        </w:rPr>
        <w:t xml:space="preserve">. </w:t>
      </w:r>
      <w:r>
        <w:rPr>
          <w:rFonts w:asciiTheme="minorEastAsia" w:hAnsiTheme="minorEastAsia" w:hint="eastAsia"/>
          <w:sz w:val="28"/>
          <w:szCs w:val="28"/>
        </w:rPr>
        <w:t>判定原则</w:t>
      </w:r>
    </w:p>
    <w:p w:rsidR="00E61BCC" w:rsidRDefault="00000000">
      <w:pPr>
        <w:pStyle w:val="af1"/>
        <w:spacing w:line="560" w:lineRule="exact"/>
        <w:ind w:firstLine="560"/>
        <w:rPr>
          <w:rFonts w:asciiTheme="minorEastAsia" w:eastAsiaTheme="minorEastAsia" w:hAnsiTheme="minorEastAsia" w:cstheme="minorBidi" w:hint="eastAsia"/>
          <w:snapToGrid/>
          <w:spacing w:val="0"/>
          <w:kern w:val="2"/>
          <w:sz w:val="28"/>
          <w:szCs w:val="28"/>
        </w:rPr>
      </w:pPr>
      <w:r>
        <w:rPr>
          <w:rFonts w:asciiTheme="minorEastAsia" w:eastAsiaTheme="minorEastAsia" w:hAnsiTheme="minorEastAsia" w:cstheme="minorBidi" w:hint="eastAsia"/>
          <w:snapToGrid/>
          <w:spacing w:val="0"/>
          <w:kern w:val="2"/>
          <w:sz w:val="28"/>
          <w:szCs w:val="28"/>
        </w:rPr>
        <w:t>经检验，检验项目全部合格，判定为抽查产品</w:t>
      </w:r>
      <w:r>
        <w:rPr>
          <w:rFonts w:asciiTheme="minorEastAsia" w:hAnsiTheme="minorEastAsia" w:cs="宋体" w:hint="eastAsia"/>
          <w:sz w:val="28"/>
          <w:szCs w:val="28"/>
        </w:rPr>
        <w:t>未发现不合格</w:t>
      </w:r>
      <w:r>
        <w:rPr>
          <w:rFonts w:asciiTheme="minorEastAsia" w:eastAsiaTheme="minorEastAsia" w:hAnsiTheme="minorEastAsia" w:cstheme="minorBidi" w:hint="eastAsia"/>
          <w:snapToGrid/>
          <w:spacing w:val="0"/>
          <w:kern w:val="2"/>
          <w:sz w:val="28"/>
          <w:szCs w:val="28"/>
        </w:rPr>
        <w:t>；检</w:t>
      </w:r>
      <w:r>
        <w:rPr>
          <w:rFonts w:asciiTheme="minorEastAsia" w:eastAsiaTheme="minorEastAsia" w:hAnsiTheme="minorEastAsia" w:cstheme="minorBidi" w:hint="eastAsia"/>
          <w:snapToGrid/>
          <w:spacing w:val="0"/>
          <w:kern w:val="2"/>
          <w:sz w:val="28"/>
          <w:szCs w:val="28"/>
        </w:rPr>
        <w:lastRenderedPageBreak/>
        <w:t>验项目中任一项或一项以上不合格，判定为被抽查产品不合格。</w:t>
      </w:r>
      <w:bookmarkStart w:id="1" w:name="_Hlk161222049"/>
    </w:p>
    <w:p w:rsidR="00E61BCC" w:rsidRDefault="00000000">
      <w:pPr>
        <w:pStyle w:val="af1"/>
        <w:spacing w:line="560" w:lineRule="exact"/>
        <w:ind w:firstLine="560"/>
        <w:rPr>
          <w:rFonts w:asciiTheme="minorEastAsia" w:eastAsiaTheme="minorEastAsia" w:hAnsiTheme="minorEastAsia" w:cs="宋体" w:hint="eastAsia"/>
          <w:sz w:val="28"/>
          <w:szCs w:val="28"/>
        </w:rPr>
      </w:pPr>
      <w:r>
        <w:rPr>
          <w:rFonts w:asciiTheme="minorEastAsia" w:eastAsiaTheme="minorEastAsia" w:hAnsiTheme="minorEastAsia" w:cstheme="minorBidi" w:hint="eastAsia"/>
          <w:snapToGrid/>
          <w:spacing w:val="0"/>
          <w:kern w:val="2"/>
          <w:sz w:val="28"/>
          <w:szCs w:val="28"/>
        </w:rPr>
        <w:t>在石膏板市场销售抽样的检验检测报告结论用语按照《江苏省级产品质量监督抽查工作规范》附件12.2执行。</w:t>
      </w:r>
      <w:bookmarkEnd w:id="1"/>
      <w:r>
        <w:rPr>
          <w:rFonts w:asciiTheme="minorEastAsia" w:eastAsiaTheme="minorEastAsia" w:hAnsiTheme="minorEastAsia" w:cs="宋体" w:hint="eastAsia"/>
          <w:sz w:val="28"/>
          <w:szCs w:val="28"/>
        </w:rPr>
        <w:t>”</w:t>
      </w:r>
    </w:p>
    <w:p w:rsidR="00E61BCC" w:rsidRDefault="00000000">
      <w:pPr>
        <w:pStyle w:val="af1"/>
        <w:spacing w:line="560" w:lineRule="exact"/>
        <w:ind w:firstLineChars="0" w:firstLine="0"/>
        <w:rPr>
          <w:rFonts w:asciiTheme="minorEastAsia" w:eastAsiaTheme="minorEastAsia" w:hAnsiTheme="minorEastAsia" w:cs="宋体" w:hint="eastAsia"/>
          <w:sz w:val="28"/>
          <w:szCs w:val="28"/>
        </w:rPr>
      </w:pPr>
      <w:r>
        <w:rPr>
          <w:rFonts w:asciiTheme="minorEastAsia" w:eastAsiaTheme="minorEastAsia" w:hAnsiTheme="minorEastAsia" w:cs="宋体" w:hint="eastAsia"/>
          <w:sz w:val="28"/>
          <w:szCs w:val="28"/>
        </w:rPr>
        <w:t>8.检验结果确认</w:t>
      </w:r>
    </w:p>
    <w:p w:rsidR="00E61BCC" w:rsidRDefault="00000000">
      <w:pPr>
        <w:pStyle w:val="af3"/>
        <w:ind w:left="0" w:firstLine="0"/>
        <w:jc w:val="both"/>
        <w:rPr>
          <w:rFonts w:asciiTheme="minorEastAsia" w:eastAsiaTheme="minorEastAsia" w:hAnsiTheme="minorEastAsia" w:cs="宋体" w:hint="eastAsia"/>
          <w:snapToGrid w:val="0"/>
          <w:spacing w:val="2"/>
          <w:sz w:val="28"/>
          <w:szCs w:val="28"/>
        </w:rPr>
      </w:pPr>
      <w:r>
        <w:rPr>
          <w:rFonts w:asciiTheme="minorEastAsia" w:eastAsiaTheme="minorEastAsia" w:hAnsiTheme="minorEastAsia" w:cs="宋体" w:hint="eastAsia"/>
          <w:snapToGrid w:val="0"/>
          <w:spacing w:val="2"/>
          <w:sz w:val="28"/>
          <w:szCs w:val="28"/>
        </w:rPr>
        <w:t>8.1承检机构应当在检验工作结束后将检验结果报送连云港市市场监管部门，协助其将《产品质量监督抽查结果通知单》寄送受检企业。</w:t>
      </w:r>
    </w:p>
    <w:p w:rsidR="00E61BCC" w:rsidRDefault="00000000">
      <w:pPr>
        <w:pStyle w:val="af3"/>
        <w:ind w:left="0" w:firstLine="0"/>
        <w:jc w:val="both"/>
        <w:rPr>
          <w:rFonts w:asciiTheme="minorEastAsia" w:eastAsiaTheme="minorEastAsia" w:hAnsiTheme="minorEastAsia" w:cs="宋体" w:hint="eastAsia"/>
          <w:snapToGrid w:val="0"/>
          <w:spacing w:val="2"/>
          <w:sz w:val="28"/>
          <w:szCs w:val="28"/>
        </w:rPr>
      </w:pPr>
      <w:r>
        <w:rPr>
          <w:rFonts w:asciiTheme="minorEastAsia" w:eastAsiaTheme="minorEastAsia" w:hAnsiTheme="minorEastAsia" w:cs="宋体" w:hint="eastAsia"/>
          <w:snapToGrid w:val="0"/>
          <w:spacing w:val="2"/>
          <w:sz w:val="28"/>
          <w:szCs w:val="28"/>
        </w:rPr>
        <w:t>8.2受检企业应当在收到《产品质量监督抽查结果通知单》之日起15日内，向连云港市市场监管部门书面反馈检验结果确认情况。逾期未书面反馈或者拒绝签收《产品质量监督抽查结果通知单》的，视为认可检验结果。</w:t>
      </w:r>
    </w:p>
    <w:p w:rsidR="00E61BCC" w:rsidRDefault="00000000">
      <w:pPr>
        <w:snapToGrid w:val="0"/>
        <w:spacing w:line="560" w:lineRule="exact"/>
        <w:rPr>
          <w:rFonts w:asciiTheme="minorEastAsia" w:hAnsiTheme="minorEastAsia" w:cs="宋体" w:hint="eastAsia"/>
          <w:sz w:val="28"/>
          <w:szCs w:val="28"/>
        </w:rPr>
      </w:pPr>
      <w:r>
        <w:rPr>
          <w:rFonts w:asciiTheme="minorEastAsia" w:hAnsiTheme="minorEastAsia" w:cs="宋体" w:hint="eastAsia"/>
          <w:sz w:val="28"/>
          <w:szCs w:val="28"/>
        </w:rPr>
        <w:t>9.异议处理</w:t>
      </w:r>
    </w:p>
    <w:p w:rsidR="00E61BCC" w:rsidRDefault="00000000">
      <w:pPr>
        <w:snapToGrid w:val="0"/>
        <w:spacing w:line="560" w:lineRule="exact"/>
        <w:rPr>
          <w:rFonts w:asciiTheme="minorEastAsia" w:hAnsiTheme="minorEastAsia" w:cs="宋体" w:hint="eastAsia"/>
          <w:sz w:val="28"/>
          <w:szCs w:val="28"/>
        </w:rPr>
      </w:pPr>
      <w:r>
        <w:rPr>
          <w:rFonts w:asciiTheme="minorEastAsia" w:hAnsiTheme="minorEastAsia" w:cs="宋体" w:hint="eastAsia"/>
          <w:sz w:val="28"/>
          <w:szCs w:val="28"/>
        </w:rPr>
        <w:t>9.1受检企业收到《产品质量监督抽查结果通知单》之日起15日内，对检验结果有异议的，应当向连云港市市场监管部门提出书面异议，并提供相关证明材料。</w:t>
      </w:r>
    </w:p>
    <w:p w:rsidR="00E61BCC" w:rsidRDefault="00000000">
      <w:pPr>
        <w:snapToGrid w:val="0"/>
        <w:spacing w:line="560" w:lineRule="exact"/>
        <w:rPr>
          <w:rFonts w:asciiTheme="minorEastAsia" w:hAnsiTheme="minorEastAsia" w:cs="宋体" w:hint="eastAsia"/>
          <w:sz w:val="28"/>
          <w:szCs w:val="28"/>
        </w:rPr>
      </w:pPr>
      <w:r>
        <w:rPr>
          <w:rFonts w:asciiTheme="minorEastAsia" w:hAnsiTheme="minorEastAsia" w:cs="宋体" w:hint="eastAsia"/>
          <w:sz w:val="28"/>
          <w:szCs w:val="28"/>
        </w:rPr>
        <w:t>9.2收到受检企业异议申请后，市场监管部门应当</w:t>
      </w:r>
      <w:proofErr w:type="gramStart"/>
      <w:r>
        <w:rPr>
          <w:rFonts w:asciiTheme="minorEastAsia" w:hAnsiTheme="minorEastAsia" w:cs="宋体" w:hint="eastAsia"/>
          <w:sz w:val="28"/>
          <w:szCs w:val="28"/>
        </w:rPr>
        <w:t>作出</w:t>
      </w:r>
      <w:proofErr w:type="gramEnd"/>
      <w:r>
        <w:rPr>
          <w:rFonts w:asciiTheme="minorEastAsia" w:hAnsiTheme="minorEastAsia" w:cs="宋体" w:hint="eastAsia"/>
          <w:sz w:val="28"/>
          <w:szCs w:val="28"/>
        </w:rPr>
        <w:t>受理或者不受理的决定，并制作《产品质量监督抽查异议处理通知书》送达企业。</w:t>
      </w:r>
    </w:p>
    <w:p w:rsidR="00E61BCC" w:rsidRDefault="00000000">
      <w:pPr>
        <w:snapToGrid w:val="0"/>
        <w:spacing w:line="560" w:lineRule="exact"/>
        <w:rPr>
          <w:rFonts w:asciiTheme="minorEastAsia" w:hAnsiTheme="minorEastAsia" w:cs="宋体" w:hint="eastAsia"/>
          <w:sz w:val="28"/>
          <w:szCs w:val="28"/>
        </w:rPr>
      </w:pPr>
      <w:r>
        <w:rPr>
          <w:rFonts w:asciiTheme="minorEastAsia" w:hAnsiTheme="minorEastAsia" w:cs="宋体" w:hint="eastAsia"/>
          <w:sz w:val="28"/>
          <w:szCs w:val="28"/>
        </w:rPr>
        <w:t>9.3核查不合格项目相关证据，能够以纸质记录与不合格项目相关联的其它质量数据等检验证据证明，并得到被检方认可的，</w:t>
      </w:r>
      <w:proofErr w:type="gramStart"/>
      <w:r>
        <w:rPr>
          <w:rFonts w:asciiTheme="minorEastAsia" w:hAnsiTheme="minorEastAsia" w:cs="宋体" w:hint="eastAsia"/>
          <w:sz w:val="28"/>
          <w:szCs w:val="28"/>
        </w:rPr>
        <w:t>作出</w:t>
      </w:r>
      <w:proofErr w:type="gramEnd"/>
      <w:r>
        <w:rPr>
          <w:rFonts w:asciiTheme="minorEastAsia" w:hAnsiTheme="minorEastAsia" w:cs="宋体" w:hint="eastAsia"/>
          <w:sz w:val="28"/>
          <w:szCs w:val="28"/>
        </w:rPr>
        <w:t>维持原检验结论的复检结论。</w:t>
      </w:r>
    </w:p>
    <w:p w:rsidR="00E61BCC" w:rsidRDefault="00000000" w:rsidP="00CA4E16">
      <w:pPr>
        <w:spacing w:line="560" w:lineRule="exact"/>
        <w:rPr>
          <w:rFonts w:asciiTheme="minorEastAsia" w:hAnsiTheme="minorEastAsia" w:hint="eastAsia"/>
          <w:sz w:val="28"/>
          <w:szCs w:val="28"/>
        </w:rPr>
      </w:pPr>
      <w:r>
        <w:rPr>
          <w:rFonts w:asciiTheme="minorEastAsia" w:hAnsiTheme="minorEastAsia" w:cs="宋体" w:hint="eastAsia"/>
          <w:sz w:val="28"/>
          <w:szCs w:val="28"/>
        </w:rPr>
        <w:t>9.4对需要复检并具备检验条件的，复检承检机构按任务下达部门要求，对留存的样品或抽取的备用样品组织复检，并出具复检报告。</w:t>
      </w:r>
    </w:p>
    <w:sectPr w:rsidR="00E61BC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2090" w:rsidRDefault="002F2090">
      <w:r>
        <w:separator/>
      </w:r>
    </w:p>
  </w:endnote>
  <w:endnote w:type="continuationSeparator" w:id="0">
    <w:p w:rsidR="002F2090" w:rsidRDefault="002F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汉鼎简书宋二">
    <w:altName w:val="宋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panose1 w:val="02010601030101010101"/>
    <w:charset w:val="86"/>
    <w:family w:val="auto"/>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561651"/>
    </w:sdtPr>
    <w:sdtContent>
      <w:p w:rsidR="00E61BCC" w:rsidRDefault="00000000">
        <w:pPr>
          <w:pStyle w:val="aa"/>
          <w:jc w:val="right"/>
        </w:pPr>
        <w:r>
          <w:fldChar w:fldCharType="begin"/>
        </w:r>
        <w:r>
          <w:instrText>PAGE   \* MERGEFORMAT</w:instrText>
        </w:r>
        <w:r>
          <w:fldChar w:fldCharType="separate"/>
        </w:r>
        <w:r>
          <w:rPr>
            <w:lang w:val="zh-CN"/>
          </w:rPr>
          <w:t>6</w:t>
        </w:r>
        <w:r>
          <w:fldChar w:fldCharType="end"/>
        </w:r>
      </w:p>
    </w:sdtContent>
  </w:sdt>
  <w:p w:rsidR="00E61BCC" w:rsidRDefault="00E61BC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2090" w:rsidRDefault="002F2090">
      <w:r>
        <w:separator/>
      </w:r>
    </w:p>
  </w:footnote>
  <w:footnote w:type="continuationSeparator" w:id="0">
    <w:p w:rsidR="002F2090" w:rsidRDefault="002F2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4235E"/>
    <w:multiLevelType w:val="multilevel"/>
    <w:tmpl w:val="2954235E"/>
    <w:lvl w:ilvl="0">
      <w:start w:val="3"/>
      <w:numFmt w:val="decimal"/>
      <w:pStyle w:val="a"/>
      <w:lvlText w:val="%1"/>
      <w:lvlJc w:val="left"/>
      <w:pPr>
        <w:ind w:left="432" w:hanging="43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3418FC1C"/>
    <w:multiLevelType w:val="singleLevel"/>
    <w:tmpl w:val="3418FC1C"/>
    <w:lvl w:ilvl="0">
      <w:start w:val="3"/>
      <w:numFmt w:val="decimal"/>
      <w:lvlText w:val="%1."/>
      <w:lvlJc w:val="left"/>
      <w:pPr>
        <w:tabs>
          <w:tab w:val="left" w:pos="312"/>
        </w:tabs>
      </w:pPr>
    </w:lvl>
  </w:abstractNum>
  <w:num w:numId="1" w16cid:durableId="1786924585">
    <w:abstractNumId w:val="0"/>
  </w:num>
  <w:num w:numId="2" w16cid:durableId="1619144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BlYThiMTBiOGYyZTg1NWU2NDhhOGQ1M2I3NzFjNmYifQ=="/>
  </w:docVars>
  <w:rsids>
    <w:rsidRoot w:val="0076661A"/>
    <w:rsid w:val="00011BF5"/>
    <w:rsid w:val="00014AC7"/>
    <w:rsid w:val="00032632"/>
    <w:rsid w:val="000841A6"/>
    <w:rsid w:val="00084376"/>
    <w:rsid w:val="000A6879"/>
    <w:rsid w:val="000D0183"/>
    <w:rsid w:val="000D5B05"/>
    <w:rsid w:val="0010204F"/>
    <w:rsid w:val="00133A7A"/>
    <w:rsid w:val="001607CD"/>
    <w:rsid w:val="00190A4E"/>
    <w:rsid w:val="001A2FD2"/>
    <w:rsid w:val="001B07AD"/>
    <w:rsid w:val="001C10DF"/>
    <w:rsid w:val="00207A76"/>
    <w:rsid w:val="00236599"/>
    <w:rsid w:val="002A7DEB"/>
    <w:rsid w:val="002B39A2"/>
    <w:rsid w:val="002C686D"/>
    <w:rsid w:val="002F2090"/>
    <w:rsid w:val="002F55C6"/>
    <w:rsid w:val="00306608"/>
    <w:rsid w:val="00341BF3"/>
    <w:rsid w:val="0034283E"/>
    <w:rsid w:val="003800E2"/>
    <w:rsid w:val="00385453"/>
    <w:rsid w:val="00390B5E"/>
    <w:rsid w:val="003A311C"/>
    <w:rsid w:val="003D2721"/>
    <w:rsid w:val="003E011F"/>
    <w:rsid w:val="003F669D"/>
    <w:rsid w:val="004056F4"/>
    <w:rsid w:val="00447132"/>
    <w:rsid w:val="00474F1C"/>
    <w:rsid w:val="004831FC"/>
    <w:rsid w:val="004C4D0F"/>
    <w:rsid w:val="004D70ED"/>
    <w:rsid w:val="0050285D"/>
    <w:rsid w:val="005236A0"/>
    <w:rsid w:val="00547B99"/>
    <w:rsid w:val="00550C43"/>
    <w:rsid w:val="00595F6D"/>
    <w:rsid w:val="005C16AF"/>
    <w:rsid w:val="005D5E83"/>
    <w:rsid w:val="005F5291"/>
    <w:rsid w:val="005F5492"/>
    <w:rsid w:val="0061631F"/>
    <w:rsid w:val="00637DDA"/>
    <w:rsid w:val="006613A3"/>
    <w:rsid w:val="00667E3D"/>
    <w:rsid w:val="006A2E56"/>
    <w:rsid w:val="006B1991"/>
    <w:rsid w:val="006B361A"/>
    <w:rsid w:val="006B51A6"/>
    <w:rsid w:val="006F4E8E"/>
    <w:rsid w:val="007107AB"/>
    <w:rsid w:val="0072161B"/>
    <w:rsid w:val="0076661A"/>
    <w:rsid w:val="007715E5"/>
    <w:rsid w:val="00773BF7"/>
    <w:rsid w:val="00783340"/>
    <w:rsid w:val="00791AE5"/>
    <w:rsid w:val="007B4EC8"/>
    <w:rsid w:val="007C091F"/>
    <w:rsid w:val="007C402A"/>
    <w:rsid w:val="007D087D"/>
    <w:rsid w:val="007D49E7"/>
    <w:rsid w:val="007D55DF"/>
    <w:rsid w:val="007F0AC9"/>
    <w:rsid w:val="007F5A11"/>
    <w:rsid w:val="00800C9D"/>
    <w:rsid w:val="008330CF"/>
    <w:rsid w:val="00836C3F"/>
    <w:rsid w:val="00861AA3"/>
    <w:rsid w:val="0088639C"/>
    <w:rsid w:val="008A3B1B"/>
    <w:rsid w:val="008E4238"/>
    <w:rsid w:val="00946987"/>
    <w:rsid w:val="00946EDB"/>
    <w:rsid w:val="00962B71"/>
    <w:rsid w:val="0097146D"/>
    <w:rsid w:val="0098007A"/>
    <w:rsid w:val="009A33E8"/>
    <w:rsid w:val="00A042E3"/>
    <w:rsid w:val="00A13F35"/>
    <w:rsid w:val="00A152FF"/>
    <w:rsid w:val="00A17EE1"/>
    <w:rsid w:val="00A50F5C"/>
    <w:rsid w:val="00A552F2"/>
    <w:rsid w:val="00A82B77"/>
    <w:rsid w:val="00AA0B20"/>
    <w:rsid w:val="00AB4D99"/>
    <w:rsid w:val="00AC7E41"/>
    <w:rsid w:val="00B10B38"/>
    <w:rsid w:val="00B55F5F"/>
    <w:rsid w:val="00BB4E72"/>
    <w:rsid w:val="00BD2A68"/>
    <w:rsid w:val="00C31FBC"/>
    <w:rsid w:val="00CA237C"/>
    <w:rsid w:val="00CA4E16"/>
    <w:rsid w:val="00CB1F3E"/>
    <w:rsid w:val="00CB264A"/>
    <w:rsid w:val="00CD4305"/>
    <w:rsid w:val="00CE439B"/>
    <w:rsid w:val="00CF7C42"/>
    <w:rsid w:val="00D00BC8"/>
    <w:rsid w:val="00D35A99"/>
    <w:rsid w:val="00D557E7"/>
    <w:rsid w:val="00D616C1"/>
    <w:rsid w:val="00D80192"/>
    <w:rsid w:val="00DA7529"/>
    <w:rsid w:val="00DE1E84"/>
    <w:rsid w:val="00DF115C"/>
    <w:rsid w:val="00DF4C1E"/>
    <w:rsid w:val="00E15F53"/>
    <w:rsid w:val="00E44536"/>
    <w:rsid w:val="00E5283B"/>
    <w:rsid w:val="00E61BCC"/>
    <w:rsid w:val="00E70E71"/>
    <w:rsid w:val="00E930E4"/>
    <w:rsid w:val="00EA55D9"/>
    <w:rsid w:val="00EA6EC0"/>
    <w:rsid w:val="00EF3E69"/>
    <w:rsid w:val="00EF78EB"/>
    <w:rsid w:val="00F15038"/>
    <w:rsid w:val="00F47CD7"/>
    <w:rsid w:val="00F47EB2"/>
    <w:rsid w:val="00F515FF"/>
    <w:rsid w:val="00F5204D"/>
    <w:rsid w:val="00F63A14"/>
    <w:rsid w:val="00F75764"/>
    <w:rsid w:val="00F87B2F"/>
    <w:rsid w:val="00F90DBA"/>
    <w:rsid w:val="00FA090C"/>
    <w:rsid w:val="00FA2676"/>
    <w:rsid w:val="00FB1199"/>
    <w:rsid w:val="00FD652B"/>
    <w:rsid w:val="00FD7A54"/>
    <w:rsid w:val="00FF5C40"/>
    <w:rsid w:val="011C339C"/>
    <w:rsid w:val="01A5340F"/>
    <w:rsid w:val="0291536D"/>
    <w:rsid w:val="06AA09E1"/>
    <w:rsid w:val="0CA51D71"/>
    <w:rsid w:val="0E741495"/>
    <w:rsid w:val="15E226C0"/>
    <w:rsid w:val="1723091D"/>
    <w:rsid w:val="183C65D5"/>
    <w:rsid w:val="1CDF4B06"/>
    <w:rsid w:val="1DCA0DA4"/>
    <w:rsid w:val="1EB05103"/>
    <w:rsid w:val="21516E05"/>
    <w:rsid w:val="2BBE7FC6"/>
    <w:rsid w:val="35C62ABD"/>
    <w:rsid w:val="36A40857"/>
    <w:rsid w:val="36CF7301"/>
    <w:rsid w:val="379E76D2"/>
    <w:rsid w:val="400C6B7A"/>
    <w:rsid w:val="40A9605C"/>
    <w:rsid w:val="42846521"/>
    <w:rsid w:val="443F5452"/>
    <w:rsid w:val="45AA2069"/>
    <w:rsid w:val="461942EC"/>
    <w:rsid w:val="47DD7AD0"/>
    <w:rsid w:val="52271F63"/>
    <w:rsid w:val="59353228"/>
    <w:rsid w:val="59D017C0"/>
    <w:rsid w:val="5F8B4C16"/>
    <w:rsid w:val="5FB92779"/>
    <w:rsid w:val="623F6839"/>
    <w:rsid w:val="638E1826"/>
    <w:rsid w:val="66B74E48"/>
    <w:rsid w:val="67797A29"/>
    <w:rsid w:val="69F241C9"/>
    <w:rsid w:val="6A554FDC"/>
    <w:rsid w:val="6D3A2E91"/>
    <w:rsid w:val="76E77774"/>
    <w:rsid w:val="78F12C8E"/>
    <w:rsid w:val="790659EB"/>
    <w:rsid w:val="7A4A16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DFEEC"/>
  <w15:docId w15:val="{885DA585-89D6-43A9-B7A9-80BEC8CA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0"/>
    <w:next w:val="a0"/>
    <w:link w:val="20"/>
    <w:uiPriority w:val="9"/>
    <w:qFormat/>
    <w:pPr>
      <w:widowControl/>
      <w:spacing w:before="100" w:beforeAutospacing="1" w:after="100" w:afterAutospacing="1"/>
      <w:jc w:val="left"/>
      <w:outlineLvl w:val="1"/>
    </w:pPr>
    <w:rPr>
      <w:rFonts w:ascii="宋体" w:eastAsia="宋体" w:hAnsi="宋体" w:cs="宋体"/>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qFormat/>
    <w:pPr>
      <w:jc w:val="left"/>
    </w:pPr>
    <w:rPr>
      <w:szCs w:val="24"/>
    </w:rPr>
  </w:style>
  <w:style w:type="paragraph" w:styleId="a6">
    <w:name w:val="Plain Text"/>
    <w:basedOn w:val="a0"/>
    <w:link w:val="a7"/>
    <w:qFormat/>
    <w:rPr>
      <w:rFonts w:ascii="宋体" w:eastAsia="宋体" w:hAnsi="Courier New" w:cs="Times New Roman"/>
      <w:sz w:val="28"/>
      <w:szCs w:val="20"/>
    </w:rPr>
  </w:style>
  <w:style w:type="paragraph" w:styleId="a8">
    <w:name w:val="Balloon Text"/>
    <w:basedOn w:val="a0"/>
    <w:link w:val="a9"/>
    <w:uiPriority w:val="99"/>
    <w:semiHidden/>
    <w:unhideWhenUsed/>
    <w:qFormat/>
    <w:rPr>
      <w:sz w:val="18"/>
      <w:szCs w:val="18"/>
    </w:rPr>
  </w:style>
  <w:style w:type="paragraph" w:styleId="aa">
    <w:name w:val="footer"/>
    <w:basedOn w:val="a0"/>
    <w:link w:val="ab"/>
    <w:uiPriority w:val="99"/>
    <w:unhideWhenUsed/>
    <w:qFormat/>
    <w:pPr>
      <w:tabs>
        <w:tab w:val="center" w:pos="4153"/>
        <w:tab w:val="right" w:pos="8306"/>
      </w:tabs>
      <w:snapToGrid w:val="0"/>
      <w:jc w:val="left"/>
    </w:pPr>
    <w:rPr>
      <w:sz w:val="18"/>
      <w:szCs w:val="18"/>
    </w:rPr>
  </w:style>
  <w:style w:type="paragraph" w:styleId="ac">
    <w:name w:val="header"/>
    <w:basedOn w:val="a0"/>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Normal (Web)"/>
    <w:basedOn w:val="a0"/>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f">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1"/>
    <w:autoRedefine/>
    <w:uiPriority w:val="99"/>
    <w:semiHidden/>
    <w:unhideWhenUsed/>
    <w:qFormat/>
    <w:rPr>
      <w:color w:val="333333"/>
      <w:u w:val="none"/>
    </w:rPr>
  </w:style>
  <w:style w:type="character" w:customStyle="1" w:styleId="ad">
    <w:name w:val="页眉 字符"/>
    <w:basedOn w:val="a1"/>
    <w:link w:val="ac"/>
    <w:autoRedefine/>
    <w:uiPriority w:val="99"/>
    <w:qFormat/>
    <w:rPr>
      <w:sz w:val="18"/>
      <w:szCs w:val="18"/>
    </w:rPr>
  </w:style>
  <w:style w:type="character" w:customStyle="1" w:styleId="ab">
    <w:name w:val="页脚 字符"/>
    <w:basedOn w:val="a1"/>
    <w:link w:val="aa"/>
    <w:autoRedefine/>
    <w:uiPriority w:val="99"/>
    <w:qFormat/>
    <w:rPr>
      <w:sz w:val="18"/>
      <w:szCs w:val="18"/>
    </w:rPr>
  </w:style>
  <w:style w:type="character" w:customStyle="1" w:styleId="20">
    <w:name w:val="标题 2 字符"/>
    <w:basedOn w:val="a1"/>
    <w:link w:val="2"/>
    <w:autoRedefine/>
    <w:uiPriority w:val="9"/>
    <w:qFormat/>
    <w:rPr>
      <w:rFonts w:ascii="宋体" w:eastAsia="宋体" w:hAnsi="宋体" w:cs="宋体"/>
      <w:kern w:val="0"/>
      <w:sz w:val="24"/>
      <w:szCs w:val="24"/>
    </w:rPr>
  </w:style>
  <w:style w:type="character" w:customStyle="1" w:styleId="a9">
    <w:name w:val="批注框文本 字符"/>
    <w:basedOn w:val="a1"/>
    <w:link w:val="a8"/>
    <w:uiPriority w:val="99"/>
    <w:semiHidden/>
    <w:qFormat/>
    <w:rPr>
      <w:sz w:val="18"/>
      <w:szCs w:val="18"/>
    </w:rPr>
  </w:style>
  <w:style w:type="paragraph" w:customStyle="1" w:styleId="af1">
    <w:name w:val="肥料正文"/>
    <w:basedOn w:val="a0"/>
    <w:qFormat/>
    <w:pPr>
      <w:adjustRightInd w:val="0"/>
      <w:snapToGrid w:val="0"/>
      <w:spacing w:line="317" w:lineRule="auto"/>
      <w:ind w:firstLineChars="200" w:firstLine="200"/>
    </w:pPr>
    <w:rPr>
      <w:rFonts w:ascii="Times New Roman" w:eastAsia="汉鼎简书宋二" w:hAnsi="Times New Roman" w:cs="Times New Roman"/>
      <w:snapToGrid w:val="0"/>
      <w:spacing w:val="2"/>
      <w:kern w:val="0"/>
      <w:sz w:val="22"/>
      <w:szCs w:val="24"/>
    </w:rPr>
  </w:style>
  <w:style w:type="character" w:customStyle="1" w:styleId="TimesNewRomanChar">
    <w:name w:val="正文 + (西文) Times New Roman Char"/>
    <w:basedOn w:val="a1"/>
    <w:link w:val="TimesNewRoman"/>
    <w:qFormat/>
    <w:locked/>
    <w:rPr>
      <w:rFonts w:ascii="仿宋_GB2312" w:eastAsia="仿宋_GB2312" w:hAnsi="宋体"/>
      <w:color w:val="000000"/>
      <w:sz w:val="28"/>
      <w:szCs w:val="28"/>
    </w:rPr>
  </w:style>
  <w:style w:type="paragraph" w:customStyle="1" w:styleId="TimesNewRoman">
    <w:name w:val="正文 + (西文) Times New Roman"/>
    <w:basedOn w:val="ae"/>
    <w:link w:val="TimesNewRomanChar"/>
    <w:qFormat/>
    <w:pPr>
      <w:autoSpaceDE w:val="0"/>
      <w:autoSpaceDN w:val="0"/>
      <w:spacing w:before="0" w:beforeAutospacing="0" w:after="0" w:afterAutospacing="0" w:line="360" w:lineRule="auto"/>
      <w:ind w:firstLineChars="200" w:firstLine="560"/>
    </w:pPr>
    <w:rPr>
      <w:rFonts w:ascii="仿宋_GB2312" w:eastAsia="仿宋_GB2312" w:cstheme="minorBidi"/>
      <w:color w:val="000000"/>
      <w:kern w:val="2"/>
      <w:sz w:val="28"/>
      <w:szCs w:val="28"/>
    </w:rPr>
  </w:style>
  <w:style w:type="paragraph" w:styleId="af2">
    <w:name w:val="List Paragraph"/>
    <w:basedOn w:val="a0"/>
    <w:uiPriority w:val="34"/>
    <w:qFormat/>
    <w:pPr>
      <w:ind w:firstLineChars="200" w:firstLine="420"/>
    </w:pPr>
    <w:rPr>
      <w:rFonts w:ascii="Times New Roman" w:eastAsia="宋体" w:hAnsi="Times New Roman" w:cs="Times New Roman"/>
      <w:szCs w:val="24"/>
    </w:rPr>
  </w:style>
  <w:style w:type="paragraph" w:customStyle="1" w:styleId="af3">
    <w:name w:val="一级无"/>
    <w:basedOn w:val="a0"/>
    <w:qFormat/>
    <w:pPr>
      <w:widowControl/>
      <w:tabs>
        <w:tab w:val="left" w:pos="2160"/>
      </w:tabs>
      <w:ind w:left="2160" w:hanging="720"/>
      <w:jc w:val="left"/>
      <w:outlineLvl w:val="2"/>
    </w:pPr>
    <w:rPr>
      <w:rFonts w:ascii="宋体" w:eastAsia="宋体" w:hAnsi="黑体" w:cs="Times New Roman"/>
      <w:kern w:val="0"/>
      <w:szCs w:val="21"/>
    </w:rPr>
  </w:style>
  <w:style w:type="paragraph" w:customStyle="1" w:styleId="a">
    <w:name w:val="字母编号列项（一级）"/>
    <w:qFormat/>
    <w:pPr>
      <w:numPr>
        <w:numId w:val="1"/>
      </w:numPr>
      <w:tabs>
        <w:tab w:val="left" w:pos="839"/>
      </w:tabs>
      <w:jc w:val="both"/>
    </w:pPr>
    <w:rPr>
      <w:rFonts w:ascii="宋体"/>
      <w:sz w:val="21"/>
    </w:rPr>
  </w:style>
  <w:style w:type="character" w:customStyle="1" w:styleId="a7">
    <w:name w:val="纯文本 字符"/>
    <w:basedOn w:val="a1"/>
    <w:link w:val="a6"/>
    <w:qFormat/>
    <w:rPr>
      <w:rFonts w:ascii="宋体" w:eastAsia="宋体" w:hAnsi="Courier New" w:cs="Times New Roman"/>
      <w:sz w:val="28"/>
      <w:szCs w:val="20"/>
    </w:rPr>
  </w:style>
  <w:style w:type="paragraph" w:customStyle="1" w:styleId="1">
    <w:name w:val="列出段落1"/>
    <w:basedOn w:val="a0"/>
    <w:qFormat/>
    <w:pPr>
      <w:widowControl/>
      <w:wordWrap w:val="0"/>
      <w:autoSpaceDE w:val="0"/>
      <w:autoSpaceDN w:val="0"/>
      <w:spacing w:line="240" w:lineRule="atLeast"/>
      <w:ind w:firstLineChars="200" w:firstLine="200"/>
      <w:jc w:val="left"/>
    </w:pPr>
    <w:rPr>
      <w:rFonts w:ascii="方正黑体简体" w:hAnsi="方正黑体简体"/>
      <w:sz w:val="24"/>
      <w:szCs w:val="21"/>
    </w:rPr>
  </w:style>
  <w:style w:type="character" w:customStyle="1" w:styleId="Bodytext2BookAntiqua1">
    <w:name w:val="Body text (2) + Book Antiqua1"/>
    <w:qFormat/>
    <w:rPr>
      <w:rFonts w:ascii="Book Antiqua" w:eastAsia="Book Antiqua" w:hAnsi="Book Antiqua" w:cs="Book Antiqua"/>
      <w:color w:val="000000"/>
      <w:spacing w:val="0"/>
      <w:w w:val="100"/>
      <w:position w:val="0"/>
      <w:sz w:val="19"/>
      <w:szCs w:val="19"/>
      <w:shd w:val="clear" w:color="auto" w:fill="FFFFFF"/>
      <w:lang w:val="en-US" w:eastAsia="en-US" w:bidi="en-US"/>
    </w:rPr>
  </w:style>
  <w:style w:type="character" w:customStyle="1" w:styleId="Bodytext2BookAntiqua">
    <w:name w:val="Body text (2) + Book Antiqua"/>
    <w:qFormat/>
    <w:rPr>
      <w:rFonts w:ascii="Book Antiqua" w:eastAsia="Book Antiqua" w:hAnsi="Book Antiqua" w:cs="Book Antiqua"/>
      <w:color w:val="000000"/>
      <w:spacing w:val="0"/>
      <w:w w:val="100"/>
      <w:position w:val="0"/>
      <w:sz w:val="19"/>
      <w:szCs w:val="19"/>
      <w:shd w:val="clear" w:color="auto" w:fill="FFFFFF"/>
      <w:lang w:val="en-US" w:eastAsia="en-US" w:bidi="en-US"/>
    </w:rPr>
  </w:style>
  <w:style w:type="paragraph" w:styleId="af4">
    <w:name w:val="No Spacing"/>
    <w:uiPriority w:val="1"/>
    <w:qFormat/>
    <w:pPr>
      <w:widowControl w:val="0"/>
      <w:jc w:val="both"/>
    </w:pPr>
    <w:rPr>
      <w:kern w:val="2"/>
      <w:sz w:val="21"/>
      <w:szCs w:val="24"/>
    </w:rPr>
  </w:style>
  <w:style w:type="character" w:customStyle="1" w:styleId="a5">
    <w:name w:val="批注文字 字符"/>
    <w:link w:val="a4"/>
    <w:qFormat/>
    <w:rPr>
      <w:szCs w:val="24"/>
    </w:rPr>
  </w:style>
  <w:style w:type="character" w:customStyle="1" w:styleId="Char1">
    <w:name w:val="批注文字 Char1"/>
    <w:basedOn w:val="a1"/>
    <w:uiPriority w:val="99"/>
    <w:semiHidden/>
    <w:qFormat/>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369</Words>
  <Characters>2109</Characters>
  <Application>Microsoft Office Word</Application>
  <DocSecurity>0</DocSecurity>
  <Lines>17</Lines>
  <Paragraphs>4</Paragraphs>
  <ScaleCrop>false</ScaleCrop>
  <Company>Microsoft</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建材室20190812</cp:lastModifiedBy>
  <cp:revision>4</cp:revision>
  <dcterms:created xsi:type="dcterms:W3CDTF">2025-04-01T02:46:00Z</dcterms:created>
  <dcterms:modified xsi:type="dcterms:W3CDTF">2026-03-17T01:57:00Z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C9462DFE87114AC78694F5EDC4E04738_13</vt:lpwstr>
  </property>
</Properties>
</file>